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AD310">
      <w:pPr>
        <w:jc w:val="center"/>
      </w:pPr>
      <w:bookmarkStart w:id="0" w:name="_Toc7814"/>
    </w:p>
    <w:p w14:paraId="3EA61B2F">
      <w:pPr>
        <w:jc w:val="center"/>
      </w:pPr>
    </w:p>
    <w:p w14:paraId="011BD128">
      <w:pPr>
        <w:jc w:val="center"/>
        <w:rPr>
          <w:sz w:val="48"/>
        </w:rPr>
      </w:pPr>
    </w:p>
    <w:p w14:paraId="24FBAC05">
      <w:pPr>
        <w:jc w:val="center"/>
        <w:rPr>
          <w:sz w:val="48"/>
        </w:rPr>
      </w:pPr>
    </w:p>
    <w:p w14:paraId="4EF1193F">
      <w:pPr>
        <w:jc w:val="center"/>
        <w:rPr>
          <w:sz w:val="48"/>
        </w:rPr>
      </w:pPr>
    </w:p>
    <w:p w14:paraId="40E89844">
      <w:pPr>
        <w:jc w:val="center"/>
        <w:rPr>
          <w:sz w:val="48"/>
        </w:rPr>
      </w:pPr>
    </w:p>
    <w:p w14:paraId="154BAE0F">
      <w:pPr>
        <w:jc w:val="center"/>
        <w:rPr>
          <w:sz w:val="48"/>
        </w:rPr>
      </w:pPr>
    </w:p>
    <w:p w14:paraId="39AD27C3">
      <w:pPr>
        <w:jc w:val="center"/>
        <w:rPr>
          <w:sz w:val="56"/>
        </w:rPr>
      </w:pPr>
      <w:r>
        <w:rPr>
          <w:sz w:val="56"/>
        </w:rPr>
        <w:t>内蒙古美术职业学院</w:t>
      </w:r>
    </w:p>
    <w:p w14:paraId="05008B68">
      <w:pPr>
        <w:jc w:val="center"/>
        <w:rPr>
          <w:sz w:val="56"/>
        </w:rPr>
      </w:pPr>
      <w:r>
        <w:rPr>
          <w:sz w:val="56"/>
        </w:rPr>
        <w:t>202</w:t>
      </w:r>
      <w:r>
        <w:rPr>
          <w:rFonts w:hint="eastAsia"/>
          <w:sz w:val="56"/>
          <w:lang w:val="en-US" w:eastAsia="zh-CN"/>
        </w:rPr>
        <w:t>4届</w:t>
      </w:r>
      <w:r>
        <w:rPr>
          <w:sz w:val="56"/>
        </w:rPr>
        <w:t>毕业生</w:t>
      </w:r>
    </w:p>
    <w:p w14:paraId="02DB321F">
      <w:pPr>
        <w:jc w:val="center"/>
        <w:rPr>
          <w:rFonts w:hint="eastAsia" w:eastAsiaTheme="minorEastAsia"/>
          <w:lang w:eastAsia="zh-CN"/>
        </w:rPr>
      </w:pPr>
      <w:r>
        <w:rPr>
          <w:sz w:val="56"/>
        </w:rPr>
        <w:t>就业质量</w:t>
      </w:r>
      <w:r>
        <w:rPr>
          <w:rFonts w:hint="eastAsia"/>
          <w:sz w:val="56"/>
          <w:lang w:eastAsia="zh-CN"/>
        </w:rPr>
        <w:t>年报</w:t>
      </w:r>
    </w:p>
    <w:p w14:paraId="355DB407">
      <w:pPr>
        <w:jc w:val="center"/>
      </w:pPr>
    </w:p>
    <w:p w14:paraId="62A23612">
      <w:pPr>
        <w:jc w:val="center"/>
      </w:pPr>
    </w:p>
    <w:p w14:paraId="7C80CAD6">
      <w:pPr>
        <w:jc w:val="center"/>
      </w:pPr>
    </w:p>
    <w:p w14:paraId="631360E3">
      <w:pPr>
        <w:jc w:val="center"/>
      </w:pPr>
    </w:p>
    <w:p w14:paraId="6AC4EBB8">
      <w:pPr>
        <w:jc w:val="center"/>
      </w:pPr>
    </w:p>
    <w:p w14:paraId="71BE45C5">
      <w:pPr>
        <w:jc w:val="center"/>
      </w:pPr>
    </w:p>
    <w:p w14:paraId="1AAF9E9D">
      <w:pPr>
        <w:jc w:val="center"/>
      </w:pPr>
    </w:p>
    <w:p w14:paraId="66DC7401"/>
    <w:p w14:paraId="4F86DD75">
      <w:pPr>
        <w:jc w:val="center"/>
      </w:pPr>
    </w:p>
    <w:p w14:paraId="284A587C">
      <w:pPr>
        <w:jc w:val="center"/>
      </w:pPr>
    </w:p>
    <w:p w14:paraId="6F2CB320">
      <w:pPr>
        <w:jc w:val="center"/>
        <w:rPr>
          <w:rFonts w:hint="default" w:eastAsiaTheme="minorEastAsia"/>
          <w:sz w:val="32"/>
          <w:lang w:val="en-US" w:eastAsia="zh-CN"/>
        </w:rPr>
      </w:pPr>
      <w:r>
        <w:rPr>
          <w:sz w:val="32"/>
        </w:rPr>
        <w:t>内蒙古美术职业学院</w:t>
      </w:r>
    </w:p>
    <w:p w14:paraId="42CB4A16">
      <w:pPr>
        <w:jc w:val="center"/>
        <w:rPr>
          <w:sz w:val="32"/>
        </w:rPr>
      </w:pPr>
      <w:r>
        <w:rPr>
          <w:rFonts w:hint="eastAsia" w:ascii="Arial" w:hAnsi="Arial" w:cs="Arial"/>
          <w:color w:val="000000"/>
          <w:szCs w:val="24"/>
          <w:shd w:val="clear" w:color="auto" w:fill="FFFFFF"/>
        </w:rPr>
        <w:t>2024年</w:t>
      </w:r>
      <w:r>
        <w:rPr>
          <w:rFonts w:hint="eastAsia" w:ascii="Arial" w:hAnsi="Arial" w:cs="Arial"/>
          <w:color w:val="000000"/>
          <w:szCs w:val="24"/>
          <w:shd w:val="clear" w:color="auto" w:fill="FFFFFF"/>
          <w:lang w:val="en-US" w:eastAsia="zh-CN"/>
        </w:rPr>
        <w:t>12</w:t>
      </w:r>
      <w:r>
        <w:rPr>
          <w:rFonts w:hint="eastAsia" w:ascii="Arial" w:hAnsi="Arial" w:cs="Arial"/>
          <w:color w:val="000000"/>
          <w:szCs w:val="24"/>
          <w:shd w:val="clear" w:color="auto" w:fill="FFFFFF"/>
        </w:rPr>
        <w:t>月</w:t>
      </w:r>
      <w:r>
        <w:rPr>
          <w:rFonts w:hint="eastAsia" w:ascii="Arial" w:hAnsi="Arial" w:cs="Arial"/>
          <w:color w:val="000000"/>
          <w:szCs w:val="24"/>
          <w:shd w:val="clear" w:color="auto" w:fill="FFFFFF"/>
          <w:lang w:val="en-US" w:eastAsia="zh-CN"/>
        </w:rPr>
        <w:t>27</w:t>
      </w:r>
      <w:r>
        <w:rPr>
          <w:rFonts w:hint="eastAsia" w:ascii="Arial" w:hAnsi="Arial" w:cs="Arial"/>
          <w:color w:val="000000"/>
          <w:szCs w:val="24"/>
          <w:shd w:val="clear" w:color="auto" w:fill="FFFFFF"/>
        </w:rPr>
        <w:t>日</w:t>
      </w:r>
    </w:p>
    <w:p w14:paraId="5F77CC78">
      <w:pPr>
        <w:widowControl/>
        <w:jc w:val="left"/>
      </w:pPr>
      <w:r>
        <w:br w:type="page"/>
      </w:r>
    </w:p>
    <w:p w14:paraId="595A5E6A">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outlineLvl w:val="0"/>
        <w:rPr>
          <w:rFonts w:hint="eastAsia" w:ascii="黑体" w:hAnsi="黑体" w:eastAsia="黑体" w:cs="黑体"/>
          <w:b/>
          <w:bCs/>
          <w:color w:val="000000"/>
          <w:spacing w:val="-11"/>
          <w:w w:val="95"/>
          <w:sz w:val="44"/>
          <w:szCs w:val="44"/>
          <w:lang w:val="en-US" w:eastAsia="zh-CN"/>
        </w:rPr>
      </w:pPr>
      <w:r>
        <w:rPr>
          <w:rFonts w:hint="eastAsia" w:ascii="黑体" w:hAnsi="黑体" w:eastAsia="黑体" w:cs="黑体"/>
          <w:b/>
          <w:bCs/>
          <w:color w:val="000000"/>
          <w:spacing w:val="-11"/>
          <w:w w:val="95"/>
          <w:sz w:val="44"/>
          <w:szCs w:val="44"/>
          <w:lang w:val="en-US" w:eastAsia="zh-CN"/>
        </w:rPr>
        <w:t>内蒙古美术职业学院2024届毕业生</w:t>
      </w:r>
    </w:p>
    <w:p w14:paraId="7F10C293">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outlineLvl w:val="0"/>
        <w:rPr>
          <w:rFonts w:hint="eastAsia" w:ascii="黑体" w:hAnsi="黑体" w:eastAsia="黑体" w:cs="黑体"/>
          <w:b/>
          <w:bCs/>
          <w:color w:val="000000"/>
          <w:spacing w:val="-11"/>
          <w:w w:val="95"/>
          <w:sz w:val="44"/>
          <w:szCs w:val="44"/>
          <w:lang w:val="en-US" w:eastAsia="zh-CN"/>
        </w:rPr>
      </w:pPr>
      <w:r>
        <w:rPr>
          <w:rFonts w:hint="eastAsia" w:ascii="黑体" w:hAnsi="黑体" w:eastAsia="黑体" w:cs="黑体"/>
          <w:b/>
          <w:bCs/>
          <w:color w:val="000000"/>
          <w:spacing w:val="-11"/>
          <w:w w:val="95"/>
          <w:sz w:val="44"/>
          <w:szCs w:val="44"/>
          <w:lang w:val="en-US" w:eastAsia="zh-CN"/>
        </w:rPr>
        <w:t>就业质量年报</w:t>
      </w:r>
    </w:p>
    <w:p w14:paraId="5FB15323">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outlineLvl w:val="0"/>
        <w:rPr>
          <w:rFonts w:hint="eastAsia" w:ascii="黑体" w:hAnsi="黑体" w:eastAsia="黑体" w:cs="黑体"/>
          <w:b/>
          <w:bCs/>
          <w:color w:val="000000"/>
          <w:spacing w:val="-11"/>
          <w:w w:val="95"/>
          <w:sz w:val="32"/>
          <w:szCs w:val="32"/>
          <w:lang w:val="en-US" w:eastAsia="zh-CN"/>
        </w:rPr>
      </w:pPr>
      <w:r>
        <w:rPr>
          <w:rFonts w:hint="eastAsia" w:ascii="黑体" w:hAnsi="黑体" w:eastAsia="黑体" w:cs="黑体"/>
          <w:b/>
          <w:bCs/>
          <w:color w:val="000000"/>
          <w:spacing w:val="-11"/>
          <w:w w:val="95"/>
          <w:sz w:val="32"/>
          <w:szCs w:val="32"/>
          <w:lang w:val="en-US" w:eastAsia="zh-CN"/>
        </w:rPr>
        <w:t>一、学院概况</w:t>
      </w:r>
      <w:bookmarkEnd w:id="0"/>
    </w:p>
    <w:p w14:paraId="59ABFCD2">
      <w:pPr>
        <w:pStyle w:val="40"/>
        <w:keepNext w:val="0"/>
        <w:keepLines w:val="0"/>
        <w:pageBreakBefore w:val="0"/>
        <w:widowControl w:val="0"/>
        <w:numPr>
          <w:ilvl w:val="0"/>
          <w:numId w:val="0"/>
        </w:numPr>
        <w:kinsoku/>
        <w:wordWrap/>
        <w:overflowPunct/>
        <w:topLinePunct w:val="0"/>
        <w:bidi w:val="0"/>
        <w:adjustRightInd/>
        <w:snapToGrid/>
        <w:spacing w:line="520" w:lineRule="exact"/>
        <w:ind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内蒙古美术职业学院是内蒙古自治区人民政府批准成立(内</w:t>
      </w:r>
      <w:r>
        <w:rPr>
          <w:rFonts w:hint="eastAsia" w:ascii="仿宋" w:hAnsi="仿宋" w:eastAsia="仿宋" w:cs="仿宋"/>
          <w:color w:val="auto"/>
          <w:kern w:val="0"/>
          <w:sz w:val="32"/>
          <w:szCs w:val="32"/>
          <w:lang w:val="en-US" w:eastAsia="zh-CN" w:bidi="ar"/>
        </w:rPr>
        <w:t>政字【2010】248号)，教育部备案(教发函【2012】70号)，纳入国家统一招生计划，具有独立颁发国家承认学历证书资格的全日制普通高等职业院校。学院人才培养定位是立足地方、面向基层，主动适应地方经济社会发展需求，为地方经济培养留得住、用得上的高素质技术技能人才。学院设置幼儿师范学院、计算机电子商务学院、空乘与高铁管理学院、护理学院、中医康复学院、绘画与设计学院、书画艺术学院、河套农牧业发展学院、继续教育学院等9个二级学院，共计开设20个专业。</w:t>
      </w:r>
    </w:p>
    <w:p w14:paraId="541B1153">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right="0" w:rightChars="0"/>
        <w:jc w:val="both"/>
        <w:textAlignment w:val="auto"/>
        <w:outlineLvl w:val="9"/>
        <w:rPr>
          <w:rFonts w:hint="eastAsia" w:ascii="黑体" w:hAnsi="黑体" w:eastAsia="黑体" w:cs="黑体"/>
          <w:b/>
          <w:bCs/>
          <w:color w:val="auto"/>
          <w:spacing w:val="-11"/>
          <w:w w:val="95"/>
          <w:sz w:val="32"/>
          <w:szCs w:val="32"/>
          <w:lang w:val="en-US" w:eastAsia="zh-CN"/>
        </w:rPr>
      </w:pPr>
      <w:r>
        <w:rPr>
          <w:rFonts w:hint="eastAsia" w:ascii="黑体" w:hAnsi="黑体" w:eastAsia="黑体" w:cs="黑体"/>
          <w:b/>
          <w:bCs/>
          <w:color w:val="auto"/>
          <w:spacing w:val="-11"/>
          <w:w w:val="95"/>
          <w:sz w:val="32"/>
          <w:szCs w:val="32"/>
          <w:lang w:val="en-US" w:eastAsia="zh-CN"/>
        </w:rPr>
        <w:t>二、就业工作组织领导机构</w:t>
      </w:r>
    </w:p>
    <w:p w14:paraId="2BB3B7D5">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outlineLvl w:val="9"/>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我院成立毕业生就业工作专班</w:t>
      </w:r>
    </w:p>
    <w:p w14:paraId="3536A5BF">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outlineLvl w:val="9"/>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总指挥：孟保和（理事长）</w:t>
      </w:r>
    </w:p>
    <w:p w14:paraId="675F9CF5">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outlineLvl w:val="9"/>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组  长：赵  丹（执行院长）</w:t>
      </w:r>
    </w:p>
    <w:p w14:paraId="4BB7025E">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outlineLvl w:val="9"/>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 xml:space="preserve">        刘  军（</w:t>
      </w:r>
      <w:r>
        <w:rPr>
          <w:rFonts w:hint="eastAsia" w:ascii="仿宋" w:hAnsi="仿宋" w:eastAsia="仿宋" w:cs="仿宋"/>
          <w:color w:val="auto"/>
          <w:sz w:val="32"/>
          <w:szCs w:val="32"/>
          <w:lang w:val="en-US" w:eastAsia="zh-CN"/>
        </w:rPr>
        <w:t>党总支书记</w:t>
      </w:r>
      <w:r>
        <w:rPr>
          <w:rFonts w:hint="eastAsia" w:ascii="仿宋" w:hAnsi="仿宋" w:eastAsia="仿宋" w:cs="仿宋"/>
          <w:b w:val="0"/>
          <w:bCs/>
          <w:color w:val="auto"/>
          <w:kern w:val="0"/>
          <w:sz w:val="32"/>
          <w:szCs w:val="32"/>
          <w:lang w:val="en-US" w:eastAsia="zh-CN"/>
        </w:rPr>
        <w:t>）</w:t>
      </w:r>
    </w:p>
    <w:p w14:paraId="11F4F629">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outlineLvl w:val="9"/>
        <w:rPr>
          <w:rFonts w:hint="eastAsia" w:ascii="仿宋" w:hAnsi="仿宋" w:eastAsia="仿宋" w:cs="仿宋"/>
          <w:b w:val="0"/>
          <w:bCs/>
          <w:color w:val="auto"/>
          <w:kern w:val="0"/>
          <w:sz w:val="32"/>
          <w:szCs w:val="32"/>
          <w:lang w:val="en-US" w:eastAsia="zh-CN"/>
        </w:rPr>
      </w:pPr>
      <w:bookmarkStart w:id="2" w:name="_GoBack"/>
      <w:bookmarkEnd w:id="2"/>
      <w:r>
        <w:rPr>
          <w:rFonts w:hint="eastAsia" w:ascii="仿宋" w:hAnsi="仿宋" w:eastAsia="仿宋" w:cs="仿宋"/>
          <w:b w:val="0"/>
          <w:bCs/>
          <w:color w:val="auto"/>
          <w:kern w:val="0"/>
          <w:sz w:val="32"/>
          <w:szCs w:val="32"/>
          <w:lang w:val="en-US" w:eastAsia="zh-CN"/>
        </w:rPr>
        <w:t>副组长：李建义（副院长）</w:t>
      </w:r>
    </w:p>
    <w:p w14:paraId="0D0DA3D3">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outlineLvl w:val="9"/>
        <w:rPr>
          <w:rFonts w:hint="default"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 xml:space="preserve">        乔  鑫（</w:t>
      </w:r>
      <w:r>
        <w:rPr>
          <w:rFonts w:hint="eastAsia" w:ascii="仿宋" w:hAnsi="仿宋" w:eastAsia="仿宋" w:cs="仿宋"/>
          <w:color w:val="auto"/>
          <w:sz w:val="32"/>
          <w:szCs w:val="32"/>
          <w:lang w:val="en-US" w:eastAsia="zh-CN"/>
        </w:rPr>
        <w:t>招生就业处副处长</w:t>
      </w:r>
      <w:r>
        <w:rPr>
          <w:rFonts w:hint="eastAsia" w:ascii="仿宋" w:hAnsi="仿宋" w:eastAsia="仿宋" w:cs="仿宋"/>
          <w:b w:val="0"/>
          <w:bCs/>
          <w:color w:val="auto"/>
          <w:kern w:val="0"/>
          <w:sz w:val="32"/>
          <w:szCs w:val="32"/>
          <w:lang w:val="en-US" w:eastAsia="zh-CN"/>
        </w:rPr>
        <w:t>）</w:t>
      </w:r>
    </w:p>
    <w:p w14:paraId="480FF5B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2010" w:leftChars="304" w:hanging="1280" w:hangingChars="4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成  员：各二级学院院长、书记</w:t>
      </w:r>
    </w:p>
    <w:p w14:paraId="7CA5D9B0">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工作专班下设办公室，处理日常事务，由李建义副院长兼任办公室主任，乔鑫为就业数据报送联络人。</w:t>
      </w:r>
    </w:p>
    <w:p w14:paraId="35F1E047">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right="0" w:rightChars="0"/>
        <w:jc w:val="both"/>
        <w:textAlignment w:val="auto"/>
        <w:outlineLvl w:val="9"/>
        <w:rPr>
          <w:rFonts w:hint="eastAsia" w:ascii="黑体" w:hAnsi="黑体" w:eastAsia="黑体" w:cs="黑体"/>
          <w:b/>
          <w:bCs/>
          <w:color w:val="auto"/>
          <w:spacing w:val="-11"/>
          <w:w w:val="95"/>
          <w:sz w:val="32"/>
          <w:szCs w:val="32"/>
          <w:lang w:val="en-US" w:eastAsia="zh-CN"/>
        </w:rPr>
      </w:pPr>
      <w:r>
        <w:rPr>
          <w:rFonts w:hint="eastAsia" w:ascii="黑体" w:hAnsi="黑体" w:eastAsia="黑体" w:cs="黑体"/>
          <w:b/>
          <w:bCs/>
          <w:color w:val="auto"/>
          <w:spacing w:val="-11"/>
          <w:w w:val="95"/>
          <w:sz w:val="32"/>
          <w:szCs w:val="32"/>
          <w:lang w:val="en-US" w:eastAsia="zh-CN"/>
        </w:rPr>
        <w:t>三、就业基本情况</w:t>
      </w:r>
    </w:p>
    <w:p w14:paraId="360A043A">
      <w:pPr>
        <w:pStyle w:val="2"/>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毕业生就业</w:t>
      </w:r>
      <w:r>
        <w:rPr>
          <w:rFonts w:hint="eastAsia" w:ascii="仿宋" w:hAnsi="仿宋" w:eastAsia="仿宋" w:cs="仿宋"/>
          <w:color w:val="auto"/>
          <w:sz w:val="32"/>
          <w:szCs w:val="32"/>
          <w:lang w:eastAsia="zh-CN"/>
        </w:rPr>
        <w:t>规模和结构</w:t>
      </w:r>
    </w:p>
    <w:p w14:paraId="2013C852">
      <w:pPr>
        <w:pStyle w:val="3"/>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毕业生总数及</w:t>
      </w:r>
      <w:r>
        <w:rPr>
          <w:rFonts w:hint="eastAsia" w:ascii="仿宋" w:hAnsi="仿宋" w:eastAsia="仿宋" w:cs="仿宋"/>
          <w:color w:val="auto"/>
          <w:sz w:val="32"/>
          <w:szCs w:val="32"/>
        </w:rPr>
        <w:t>就业率</w:t>
      </w:r>
    </w:p>
    <w:p w14:paraId="56E479D1">
      <w:pPr>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zh-CN"/>
        </w:rPr>
      </w:pPr>
      <w:r>
        <w:rPr>
          <w:rFonts w:hint="eastAsia" w:ascii="仿宋" w:hAnsi="仿宋" w:eastAsia="仿宋" w:cs="仿宋"/>
          <w:color w:val="auto"/>
          <w:sz w:val="32"/>
          <w:szCs w:val="32"/>
          <w:lang w:val="zh-CN"/>
        </w:rPr>
        <w:t>我院</w:t>
      </w:r>
      <w:r>
        <w:rPr>
          <w:rFonts w:hint="eastAsia" w:ascii="仿宋" w:hAnsi="仿宋" w:eastAsia="仿宋" w:cs="仿宋"/>
          <w:color w:val="auto"/>
          <w:sz w:val="32"/>
          <w:szCs w:val="32"/>
        </w:rPr>
        <w:t>2024</w:t>
      </w:r>
      <w:r>
        <w:rPr>
          <w:rFonts w:hint="eastAsia" w:ascii="仿宋" w:hAnsi="仿宋" w:eastAsia="仿宋" w:cs="仿宋"/>
          <w:color w:val="auto"/>
          <w:sz w:val="32"/>
          <w:szCs w:val="32"/>
          <w:lang w:val="zh-CN"/>
        </w:rPr>
        <w:t>届高职毕业生共有</w:t>
      </w:r>
      <w:r>
        <w:rPr>
          <w:rFonts w:hint="eastAsia" w:ascii="仿宋" w:hAnsi="仿宋" w:eastAsia="仿宋" w:cs="仿宋"/>
          <w:color w:val="auto"/>
          <w:sz w:val="32"/>
          <w:szCs w:val="32"/>
        </w:rPr>
        <w:t>323</w:t>
      </w:r>
      <w:r>
        <w:rPr>
          <w:rFonts w:hint="eastAsia" w:ascii="仿宋" w:hAnsi="仿宋" w:eastAsia="仿宋" w:cs="仿宋"/>
          <w:color w:val="auto"/>
          <w:sz w:val="32"/>
          <w:szCs w:val="32"/>
          <w:lang w:val="zh-CN"/>
        </w:rPr>
        <w:t>人</w:t>
      </w:r>
      <w:r>
        <w:rPr>
          <w:rFonts w:hint="eastAsia" w:ascii="仿宋" w:hAnsi="仿宋" w:eastAsia="仿宋" w:cs="仿宋"/>
          <w:color w:val="auto"/>
          <w:sz w:val="32"/>
          <w:szCs w:val="32"/>
        </w:rPr>
        <w:t>，</w:t>
      </w:r>
      <w:r>
        <w:rPr>
          <w:rFonts w:hint="eastAsia" w:ascii="仿宋" w:hAnsi="仿宋" w:eastAsia="仿宋" w:cs="仿宋"/>
          <w:color w:val="auto"/>
          <w:sz w:val="32"/>
          <w:szCs w:val="32"/>
          <w:lang w:val="zh-CN"/>
        </w:rPr>
        <w:t>截至</w:t>
      </w:r>
      <w:r>
        <w:rPr>
          <w:rFonts w:hint="eastAsia" w:ascii="仿宋" w:hAnsi="仿宋" w:eastAsia="仿宋" w:cs="仿宋"/>
          <w:sz w:val="32"/>
          <w:szCs w:val="32"/>
        </w:rPr>
        <w:t>2024年08月31日，</w:t>
      </w:r>
      <w:r>
        <w:rPr>
          <w:rFonts w:hint="eastAsia" w:ascii="仿宋" w:hAnsi="仿宋" w:eastAsia="仿宋" w:cs="仿宋"/>
          <w:sz w:val="32"/>
          <w:szCs w:val="32"/>
          <w:lang w:val="zh-CN"/>
        </w:rPr>
        <w:t>已就业人数为</w:t>
      </w:r>
      <w:r>
        <w:rPr>
          <w:rFonts w:hint="eastAsia" w:ascii="仿宋" w:hAnsi="仿宋" w:eastAsia="仿宋" w:cs="仿宋"/>
          <w:sz w:val="32"/>
          <w:szCs w:val="32"/>
        </w:rPr>
        <w:t>31</w:t>
      </w:r>
      <w:r>
        <w:rPr>
          <w:rFonts w:hint="eastAsia" w:ascii="仿宋" w:hAnsi="仿宋" w:eastAsia="仿宋" w:cs="仿宋"/>
          <w:sz w:val="32"/>
          <w:szCs w:val="32"/>
          <w:lang w:val="en-US" w:eastAsia="zh-CN"/>
        </w:rPr>
        <w:t>9</w:t>
      </w:r>
      <w:r>
        <w:rPr>
          <w:rFonts w:hint="eastAsia" w:ascii="仿宋" w:hAnsi="仿宋" w:eastAsia="仿宋" w:cs="仿宋"/>
          <w:sz w:val="32"/>
          <w:szCs w:val="32"/>
          <w:lang w:val="zh-CN"/>
        </w:rPr>
        <w:t>人</w:t>
      </w:r>
      <w:r>
        <w:rPr>
          <w:rFonts w:hint="eastAsia" w:ascii="仿宋" w:hAnsi="仿宋" w:eastAsia="仿宋" w:cs="仿宋"/>
          <w:sz w:val="32"/>
          <w:szCs w:val="32"/>
        </w:rPr>
        <w:t>，</w:t>
      </w:r>
      <w:r>
        <w:rPr>
          <w:rFonts w:hint="eastAsia" w:ascii="仿宋" w:hAnsi="仿宋" w:eastAsia="仿宋" w:cs="仿宋"/>
          <w:sz w:val="32"/>
          <w:szCs w:val="32"/>
          <w:lang w:val="zh-CN"/>
        </w:rPr>
        <w:t>总体</w:t>
      </w:r>
      <w:r>
        <w:rPr>
          <w:rFonts w:hint="eastAsia" w:ascii="仿宋" w:hAnsi="仿宋" w:eastAsia="仿宋" w:cs="仿宋"/>
          <w:sz w:val="32"/>
          <w:szCs w:val="32"/>
          <w:lang w:eastAsia="zh-Hans"/>
        </w:rPr>
        <w:t>毕业去向落实</w:t>
      </w:r>
      <w:r>
        <w:rPr>
          <w:rFonts w:hint="eastAsia" w:ascii="仿宋" w:hAnsi="仿宋" w:eastAsia="仿宋" w:cs="仿宋"/>
          <w:sz w:val="32"/>
          <w:szCs w:val="32"/>
          <w:lang w:val="zh-CN"/>
        </w:rPr>
        <w:t>率为</w:t>
      </w:r>
      <w:r>
        <w:rPr>
          <w:rFonts w:hint="eastAsia" w:ascii="仿宋" w:hAnsi="仿宋" w:eastAsia="仿宋" w:cs="仿宋"/>
          <w:sz w:val="32"/>
          <w:szCs w:val="32"/>
        </w:rPr>
        <w:t>9</w:t>
      </w:r>
      <w:r>
        <w:rPr>
          <w:rFonts w:hint="eastAsia" w:ascii="仿宋" w:hAnsi="仿宋" w:eastAsia="仿宋" w:cs="仿宋"/>
          <w:sz w:val="32"/>
          <w:szCs w:val="32"/>
          <w:lang w:val="en-US" w:eastAsia="zh-CN"/>
        </w:rPr>
        <w:t>8.76</w:t>
      </w:r>
      <w:r>
        <w:rPr>
          <w:rFonts w:hint="eastAsia" w:ascii="仿宋" w:hAnsi="仿宋" w:eastAsia="仿宋" w:cs="仿宋"/>
          <w:sz w:val="32"/>
          <w:szCs w:val="32"/>
        </w:rPr>
        <w:t>%</w:t>
      </w:r>
      <w:r>
        <w:rPr>
          <w:rFonts w:hint="eastAsia" w:ascii="仿宋" w:hAnsi="仿宋" w:eastAsia="仿宋" w:cs="仿宋"/>
          <w:sz w:val="32"/>
          <w:szCs w:val="32"/>
          <w:lang w:val="zh-CN"/>
        </w:rPr>
        <w:t xml:space="preserve">。详情如下： </w:t>
      </w:r>
    </w:p>
    <w:tbl>
      <w:tblPr>
        <w:tblStyle w:val="27"/>
        <w:tblW w:w="5000" w:type="pct"/>
        <w:tblInd w:w="0" w:type="dxa"/>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Layout w:type="autofit"/>
        <w:tblCellMar>
          <w:top w:w="0" w:type="dxa"/>
          <w:left w:w="108" w:type="dxa"/>
          <w:bottom w:w="0" w:type="dxa"/>
          <w:right w:w="108" w:type="dxa"/>
        </w:tblCellMar>
      </w:tblPr>
      <w:tblGrid>
        <w:gridCol w:w="2674"/>
        <w:gridCol w:w="1368"/>
        <w:gridCol w:w="1444"/>
        <w:gridCol w:w="1444"/>
        <w:gridCol w:w="1592"/>
      </w:tblGrid>
      <w:tr w14:paraId="611798CC">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452" w:hRule="atLeast"/>
        </w:trPr>
        <w:tc>
          <w:tcPr>
            <w:tcW w:w="1568" w:type="pct"/>
            <w:tcBorders>
              <w:top w:val="single" w:color="70AD47" w:themeColor="accent6" w:sz="4" w:space="0"/>
              <w:left w:val="single" w:color="70AD47" w:themeColor="accent6" w:sz="4" w:space="0"/>
              <w:bottom w:val="single" w:color="70AD47" w:themeColor="accent6" w:sz="4" w:space="0"/>
              <w:right w:val="nil"/>
              <w:insideH w:val="single" w:sz="4" w:space="0"/>
              <w:insideV w:val="nil"/>
            </w:tcBorders>
            <w:shd w:val="clear" w:color="auto" w:fill="70AD47" w:themeFill="accent6"/>
            <w:noWrap/>
          </w:tcPr>
          <w:p w14:paraId="518DE626">
            <w:pPr>
              <w:widowControl/>
              <w:jc w:val="center"/>
              <w:rPr>
                <w:rFonts w:ascii="宋体" w:hAnsi="宋体" w:eastAsia="宋体" w:cs="宋体"/>
                <w:b w:val="0"/>
                <w:bCs w:val="0"/>
                <w:color w:val="FFFFFF" w:themeColor="background1"/>
                <w:kern w:val="0"/>
                <w:sz w:val="20"/>
                <w:szCs w:val="24"/>
                <w14:textFill>
                  <w14:solidFill>
                    <w14:schemeClr w14:val="bg1"/>
                  </w14:solidFill>
                </w14:textFill>
              </w:rPr>
            </w:pPr>
            <w:r>
              <w:rPr>
                <w:rFonts w:hint="eastAsia" w:ascii="宋体" w:hAnsi="宋体" w:eastAsia="宋体" w:cs="宋体"/>
                <w:b/>
                <w:bCs/>
                <w:color w:val="auto"/>
                <w:kern w:val="0"/>
                <w:sz w:val="20"/>
                <w:szCs w:val="24"/>
              </w:rPr>
              <w:t>学历</w:t>
            </w:r>
          </w:p>
        </w:tc>
        <w:tc>
          <w:tcPr>
            <w:tcW w:w="802" w:type="pct"/>
            <w:tcBorders>
              <w:top w:val="single" w:color="70AD47" w:themeColor="accent6" w:sz="4" w:space="0"/>
              <w:bottom w:val="single" w:color="70AD47" w:themeColor="accent6" w:sz="4" w:space="0"/>
              <w:right w:val="nil"/>
              <w:insideH w:val="single" w:sz="4" w:space="0"/>
              <w:insideV w:val="nil"/>
            </w:tcBorders>
            <w:shd w:val="clear" w:color="auto" w:fill="70AD47" w:themeFill="accent6"/>
          </w:tcPr>
          <w:p w14:paraId="34A065FF">
            <w:pPr>
              <w:widowControl/>
              <w:jc w:val="center"/>
              <w:rPr>
                <w:rFonts w:ascii="宋体" w:hAnsi="宋体" w:eastAsia="宋体" w:cs="宋体"/>
                <w:b w:val="0"/>
                <w:bCs w:val="0"/>
                <w:color w:val="FFFFFF" w:themeColor="background1"/>
                <w:kern w:val="0"/>
                <w:sz w:val="20"/>
                <w:szCs w:val="24"/>
                <w14:textFill>
                  <w14:solidFill>
                    <w14:schemeClr w14:val="bg1"/>
                  </w14:solidFill>
                </w14:textFill>
              </w:rPr>
            </w:pPr>
            <w:r>
              <w:rPr>
                <w:rFonts w:hint="eastAsia" w:ascii="宋体" w:hAnsi="宋体" w:eastAsia="宋体" w:cs="宋体"/>
                <w:b/>
                <w:bCs/>
                <w:color w:val="auto"/>
                <w:kern w:val="0"/>
                <w:sz w:val="20"/>
                <w:szCs w:val="24"/>
              </w:rPr>
              <w:t>毕业生数</w:t>
            </w:r>
          </w:p>
        </w:tc>
        <w:tc>
          <w:tcPr>
            <w:tcW w:w="847" w:type="pct"/>
            <w:tcBorders>
              <w:top w:val="single" w:color="70AD47" w:themeColor="accent6" w:sz="4" w:space="0"/>
              <w:bottom w:val="single" w:color="70AD47" w:themeColor="accent6" w:sz="4" w:space="0"/>
              <w:right w:val="nil"/>
              <w:insideH w:val="single" w:sz="4" w:space="0"/>
              <w:insideV w:val="nil"/>
            </w:tcBorders>
            <w:shd w:val="clear" w:color="auto" w:fill="70AD47" w:themeFill="accent6"/>
          </w:tcPr>
          <w:p w14:paraId="4BE94EE6">
            <w:pPr>
              <w:widowControl/>
              <w:jc w:val="center"/>
              <w:rPr>
                <w:rFonts w:ascii="宋体" w:hAnsi="宋体" w:eastAsia="宋体" w:cs="宋体"/>
                <w:b w:val="0"/>
                <w:bCs w:val="0"/>
                <w:color w:val="FFFFFF" w:themeColor="background1"/>
                <w:kern w:val="0"/>
                <w:sz w:val="20"/>
                <w:szCs w:val="24"/>
                <w14:textFill>
                  <w14:solidFill>
                    <w14:schemeClr w14:val="bg1"/>
                  </w14:solidFill>
                </w14:textFill>
              </w:rPr>
            </w:pPr>
            <w:r>
              <w:rPr>
                <w:rFonts w:hint="eastAsia" w:ascii="宋体" w:hAnsi="宋体" w:eastAsia="宋体" w:cs="宋体"/>
                <w:b/>
                <w:bCs/>
                <w:color w:val="auto"/>
                <w:kern w:val="0"/>
                <w:sz w:val="20"/>
                <w:szCs w:val="24"/>
              </w:rPr>
              <w:t>生源</w:t>
            </w:r>
            <w:r>
              <w:rPr>
                <w:rFonts w:ascii="宋体" w:hAnsi="宋体" w:eastAsia="宋体" w:cs="宋体"/>
                <w:b/>
                <w:bCs/>
                <w:color w:val="auto"/>
                <w:kern w:val="0"/>
                <w:sz w:val="20"/>
                <w:szCs w:val="24"/>
              </w:rPr>
              <w:t>占比</w:t>
            </w:r>
          </w:p>
        </w:tc>
        <w:tc>
          <w:tcPr>
            <w:tcW w:w="847" w:type="pct"/>
            <w:tcBorders>
              <w:top w:val="single" w:color="70AD47" w:themeColor="accent6" w:sz="4" w:space="0"/>
              <w:bottom w:val="single" w:color="70AD47" w:themeColor="accent6" w:sz="4" w:space="0"/>
              <w:right w:val="nil"/>
              <w:insideH w:val="single" w:sz="4" w:space="0"/>
              <w:insideV w:val="nil"/>
            </w:tcBorders>
            <w:shd w:val="clear" w:color="auto" w:fill="70AD47" w:themeFill="accent6"/>
            <w:noWrap/>
          </w:tcPr>
          <w:p w14:paraId="5098AA60">
            <w:pPr>
              <w:widowControl/>
              <w:jc w:val="center"/>
              <w:rPr>
                <w:rFonts w:ascii="宋体" w:hAnsi="宋体" w:eastAsia="宋体" w:cs="宋体"/>
                <w:b w:val="0"/>
                <w:bCs w:val="0"/>
                <w:color w:val="FFFFFF" w:themeColor="background1"/>
                <w:kern w:val="0"/>
                <w:sz w:val="20"/>
                <w:szCs w:val="24"/>
                <w14:textFill>
                  <w14:solidFill>
                    <w14:schemeClr w14:val="bg1"/>
                  </w14:solidFill>
                </w14:textFill>
              </w:rPr>
            </w:pPr>
            <w:r>
              <w:rPr>
                <w:rFonts w:hint="eastAsia" w:ascii="宋体" w:hAnsi="宋体" w:eastAsia="宋体" w:cs="宋体"/>
                <w:b/>
                <w:bCs/>
                <w:color w:val="auto"/>
                <w:kern w:val="0"/>
                <w:sz w:val="20"/>
                <w:szCs w:val="24"/>
              </w:rPr>
              <w:t>落实人数</w:t>
            </w:r>
          </w:p>
        </w:tc>
        <w:tc>
          <w:tcPr>
            <w:tcW w:w="933" w:type="pct"/>
            <w:tcBorders>
              <w:top w:val="single" w:color="70AD47" w:themeColor="accent6" w:sz="4" w:space="0"/>
              <w:bottom w:val="single" w:color="70AD47" w:themeColor="accent6" w:sz="4" w:space="0"/>
              <w:right w:val="single" w:color="70AD47" w:themeColor="accent6" w:sz="4" w:space="0"/>
              <w:insideH w:val="single" w:sz="4" w:space="0"/>
              <w:insideV w:val="nil"/>
            </w:tcBorders>
            <w:shd w:val="clear" w:color="auto" w:fill="70AD47" w:themeFill="accent6"/>
            <w:noWrap/>
          </w:tcPr>
          <w:p w14:paraId="033FB959">
            <w:pPr>
              <w:widowControl/>
              <w:jc w:val="center"/>
              <w:rPr>
                <w:rFonts w:ascii="宋体" w:hAnsi="宋体" w:eastAsia="宋体" w:cs="宋体"/>
                <w:b w:val="0"/>
                <w:bCs w:val="0"/>
                <w:color w:val="FFFFFF" w:themeColor="background1"/>
                <w:kern w:val="0"/>
                <w:sz w:val="20"/>
                <w:szCs w:val="24"/>
                <w14:textFill>
                  <w14:solidFill>
                    <w14:schemeClr w14:val="bg1"/>
                  </w14:solidFill>
                </w14:textFill>
              </w:rPr>
            </w:pPr>
            <w:r>
              <w:rPr>
                <w:rFonts w:hint="eastAsia" w:ascii="宋体" w:hAnsi="宋体" w:eastAsia="宋体" w:cs="宋体"/>
                <w:b/>
                <w:bCs/>
                <w:color w:val="auto"/>
                <w:kern w:val="0"/>
                <w:sz w:val="20"/>
                <w:szCs w:val="24"/>
                <w:lang w:eastAsia="zh-Hans"/>
              </w:rPr>
              <w:t>落实</w:t>
            </w:r>
            <w:r>
              <w:rPr>
                <w:rFonts w:hint="eastAsia" w:ascii="宋体" w:hAnsi="宋体" w:eastAsia="宋体" w:cs="宋体"/>
                <w:b/>
                <w:bCs/>
                <w:color w:val="auto"/>
                <w:kern w:val="0"/>
                <w:sz w:val="20"/>
                <w:szCs w:val="24"/>
              </w:rPr>
              <w:t>率</w:t>
            </w:r>
          </w:p>
        </w:tc>
      </w:tr>
      <w:tr w14:paraId="6831CD10">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93" w:hRule="atLeast"/>
        </w:trPr>
        <w:tc>
          <w:tcPr>
            <w:tcW w:w="1568" w:type="pct"/>
            <w:shd w:val="clear" w:color="auto" w:fill="E2EFD9" w:themeFill="accent6" w:themeFillTint="33"/>
          </w:tcPr>
          <w:p w14:paraId="7CBF352C">
            <w:pPr>
              <w:widowControl/>
              <w:jc w:val="center"/>
              <w:rPr>
                <w:rFonts w:ascii="宋体" w:hAnsi="宋体" w:eastAsia="宋体" w:cs="宋体"/>
                <w:b/>
                <w:bCs w:val="0"/>
                <w:kern w:val="0"/>
                <w:sz w:val="20"/>
              </w:rPr>
            </w:pPr>
            <w:r>
              <w:rPr>
                <w:rFonts w:hint="eastAsia" w:ascii="宋体" w:hAnsi="宋体" w:eastAsia="宋体" w:cs="宋体"/>
                <w:b w:val="0"/>
                <w:bCs/>
                <w:kern w:val="0"/>
                <w:sz w:val="20"/>
              </w:rPr>
              <w:t>专科</w:t>
            </w:r>
          </w:p>
        </w:tc>
        <w:tc>
          <w:tcPr>
            <w:tcW w:w="802" w:type="pct"/>
            <w:shd w:val="clear" w:color="auto" w:fill="E2EFD9" w:themeFill="accent6" w:themeFillTint="33"/>
          </w:tcPr>
          <w:p w14:paraId="6AB932D4">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323</w:t>
            </w:r>
          </w:p>
        </w:tc>
        <w:tc>
          <w:tcPr>
            <w:tcW w:w="847" w:type="pct"/>
            <w:shd w:val="clear" w:color="auto" w:fill="E2EFD9" w:themeFill="accent6" w:themeFillTint="33"/>
          </w:tcPr>
          <w:p w14:paraId="7164C753">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100%</w:t>
            </w:r>
          </w:p>
        </w:tc>
        <w:tc>
          <w:tcPr>
            <w:tcW w:w="847" w:type="pct"/>
            <w:shd w:val="clear" w:color="auto" w:fill="E2EFD9" w:themeFill="accent6" w:themeFillTint="33"/>
          </w:tcPr>
          <w:p w14:paraId="542E63B3">
            <w:pPr>
              <w:widowControl/>
              <w:jc w:val="center"/>
              <w:rPr>
                <w:rFonts w:hint="eastAsia" w:ascii="Helvetica" w:hAnsi="Helvetica" w:eastAsia="宋体" w:cs="宋体"/>
                <w:kern w:val="0"/>
                <w:sz w:val="20"/>
                <w:szCs w:val="21"/>
                <w:lang w:eastAsia="zh-CN"/>
              </w:rPr>
            </w:pPr>
            <w:r>
              <w:rPr>
                <w:rFonts w:hint="eastAsia" w:ascii="Helvetica" w:hAnsi="Helvetica" w:eastAsia="宋体" w:cs="宋体"/>
                <w:kern w:val="0"/>
                <w:sz w:val="20"/>
                <w:szCs w:val="21"/>
              </w:rPr>
              <w:t>31</w:t>
            </w:r>
            <w:r>
              <w:rPr>
                <w:rFonts w:hint="eastAsia" w:ascii="Helvetica" w:hAnsi="Helvetica" w:eastAsia="宋体" w:cs="宋体"/>
                <w:kern w:val="0"/>
                <w:sz w:val="20"/>
                <w:szCs w:val="21"/>
                <w:lang w:val="en-US" w:eastAsia="zh-CN"/>
              </w:rPr>
              <w:t>9</w:t>
            </w:r>
          </w:p>
        </w:tc>
        <w:tc>
          <w:tcPr>
            <w:tcW w:w="933" w:type="pct"/>
            <w:shd w:val="clear" w:color="auto" w:fill="E2EFD9" w:themeFill="accent6" w:themeFillTint="33"/>
          </w:tcPr>
          <w:p w14:paraId="3803209D">
            <w:pPr>
              <w:widowControl/>
              <w:jc w:val="center"/>
              <w:rPr>
                <w:rFonts w:hint="eastAsia" w:ascii="Helvetica" w:hAnsi="Helvetica" w:eastAsia="宋体" w:cs="宋体"/>
                <w:kern w:val="0"/>
                <w:sz w:val="20"/>
                <w:szCs w:val="21"/>
              </w:rPr>
            </w:pPr>
            <w:r>
              <w:rPr>
                <w:rFonts w:cs="Times New Roman"/>
              </w:rPr>
              <w:t>9</w:t>
            </w:r>
            <w:r>
              <w:rPr>
                <w:rFonts w:hint="eastAsia" w:cs="Times New Roman"/>
                <w:lang w:val="en-US" w:eastAsia="zh-CN"/>
              </w:rPr>
              <w:t>8.76</w:t>
            </w:r>
            <w:r>
              <w:rPr>
                <w:rFonts w:cs="Times New Roman"/>
              </w:rPr>
              <w:t>%</w:t>
            </w:r>
          </w:p>
        </w:tc>
      </w:tr>
      <w:tr w14:paraId="6350E01D">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93" w:hRule="atLeast"/>
        </w:trPr>
        <w:tc>
          <w:tcPr>
            <w:tcW w:w="1568" w:type="pct"/>
            <w:shd w:val="clear" w:color="auto" w:fill="E2EFD9" w:themeFill="accent6" w:themeFillTint="33"/>
          </w:tcPr>
          <w:p w14:paraId="54326FAC">
            <w:pPr>
              <w:widowControl/>
              <w:jc w:val="center"/>
              <w:rPr>
                <w:rFonts w:ascii="宋体" w:hAnsi="宋体" w:eastAsia="宋体" w:cs="宋体"/>
                <w:b/>
                <w:bCs w:val="0"/>
                <w:kern w:val="0"/>
                <w:sz w:val="20"/>
              </w:rPr>
            </w:pPr>
            <w:r>
              <w:rPr>
                <w:rFonts w:hint="eastAsia" w:ascii="宋体" w:hAnsi="宋体" w:eastAsia="宋体" w:cs="宋体"/>
                <w:b w:val="0"/>
                <w:bCs/>
                <w:kern w:val="0"/>
                <w:sz w:val="20"/>
              </w:rPr>
              <w:t>合计</w:t>
            </w:r>
          </w:p>
        </w:tc>
        <w:tc>
          <w:tcPr>
            <w:tcW w:w="802" w:type="pct"/>
            <w:shd w:val="clear" w:color="auto" w:fill="E2EFD9" w:themeFill="accent6" w:themeFillTint="33"/>
          </w:tcPr>
          <w:p w14:paraId="727646F1">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323</w:t>
            </w:r>
          </w:p>
        </w:tc>
        <w:tc>
          <w:tcPr>
            <w:tcW w:w="847" w:type="pct"/>
            <w:shd w:val="clear" w:color="auto" w:fill="E2EFD9" w:themeFill="accent6" w:themeFillTint="33"/>
          </w:tcPr>
          <w:p w14:paraId="077F92CC">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100%</w:t>
            </w:r>
          </w:p>
        </w:tc>
        <w:tc>
          <w:tcPr>
            <w:tcW w:w="847" w:type="pct"/>
            <w:shd w:val="clear" w:color="auto" w:fill="E2EFD9" w:themeFill="accent6" w:themeFillTint="33"/>
          </w:tcPr>
          <w:p w14:paraId="3EECBD04">
            <w:pPr>
              <w:widowControl/>
              <w:jc w:val="center"/>
              <w:rPr>
                <w:rFonts w:hint="eastAsia" w:ascii="Helvetica" w:hAnsi="Helvetica" w:eastAsia="宋体" w:cs="宋体"/>
                <w:kern w:val="0"/>
                <w:sz w:val="20"/>
                <w:szCs w:val="21"/>
                <w:lang w:val="en-US" w:eastAsia="zh-CN"/>
              </w:rPr>
            </w:pPr>
            <w:r>
              <w:rPr>
                <w:rFonts w:hint="eastAsia" w:ascii="Helvetica" w:hAnsi="Helvetica" w:eastAsia="宋体" w:cs="宋体"/>
                <w:kern w:val="0"/>
                <w:sz w:val="20"/>
                <w:szCs w:val="21"/>
              </w:rPr>
              <w:t>31</w:t>
            </w:r>
            <w:r>
              <w:rPr>
                <w:rFonts w:hint="eastAsia" w:ascii="Helvetica" w:hAnsi="Helvetica" w:eastAsia="宋体" w:cs="宋体"/>
                <w:kern w:val="0"/>
                <w:sz w:val="20"/>
                <w:szCs w:val="21"/>
                <w:lang w:val="en-US" w:eastAsia="zh-CN"/>
              </w:rPr>
              <w:t>9</w:t>
            </w:r>
          </w:p>
        </w:tc>
        <w:tc>
          <w:tcPr>
            <w:tcW w:w="933" w:type="pct"/>
            <w:shd w:val="clear" w:color="auto" w:fill="E2EFD9" w:themeFill="accent6" w:themeFillTint="33"/>
          </w:tcPr>
          <w:p w14:paraId="4C1CFD7E">
            <w:pPr>
              <w:widowControl/>
              <w:jc w:val="center"/>
              <w:rPr>
                <w:rFonts w:hint="eastAsia" w:ascii="Helvetica" w:hAnsi="Helvetica" w:eastAsia="宋体" w:cs="宋体"/>
                <w:kern w:val="0"/>
                <w:sz w:val="20"/>
                <w:szCs w:val="21"/>
              </w:rPr>
            </w:pPr>
            <w:r>
              <w:rPr>
                <w:rFonts w:cs="Times New Roman"/>
              </w:rPr>
              <w:t>9</w:t>
            </w:r>
            <w:r>
              <w:rPr>
                <w:rFonts w:hint="eastAsia" w:cs="Times New Roman"/>
                <w:lang w:val="en-US" w:eastAsia="zh-CN"/>
              </w:rPr>
              <w:t>8.76</w:t>
            </w:r>
            <w:r>
              <w:rPr>
                <w:rFonts w:cs="Times New Roman"/>
              </w:rPr>
              <w:t>%</w:t>
            </w:r>
          </w:p>
        </w:tc>
      </w:tr>
    </w:tbl>
    <w:p w14:paraId="282A7927">
      <w:pPr>
        <w:pStyle w:val="3"/>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毕业去向分布情况</w:t>
      </w:r>
    </w:p>
    <w:p w14:paraId="635F3E0A">
      <w:pPr>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我院</w:t>
      </w:r>
      <w:r>
        <w:rPr>
          <w:rFonts w:hint="eastAsia" w:ascii="仿宋" w:hAnsi="仿宋" w:eastAsia="仿宋" w:cs="仿宋"/>
          <w:sz w:val="32"/>
          <w:szCs w:val="32"/>
        </w:rPr>
        <w:t>2024</w:t>
      </w:r>
      <w:r>
        <w:rPr>
          <w:rFonts w:hint="eastAsia" w:ascii="仿宋" w:hAnsi="仿宋" w:eastAsia="仿宋" w:cs="仿宋"/>
          <w:sz w:val="32"/>
          <w:szCs w:val="32"/>
          <w:lang w:val="zh-CN"/>
        </w:rPr>
        <w:t>届毕业生中</w:t>
      </w:r>
      <w:r>
        <w:rPr>
          <w:rFonts w:hint="eastAsia" w:ascii="仿宋" w:hAnsi="仿宋" w:eastAsia="仿宋" w:cs="仿宋"/>
          <w:sz w:val="32"/>
          <w:szCs w:val="32"/>
        </w:rPr>
        <w:t>，</w:t>
      </w:r>
      <w:r>
        <w:rPr>
          <w:rFonts w:hint="eastAsia" w:ascii="仿宋" w:hAnsi="仿宋" w:eastAsia="仿宋" w:cs="仿宋"/>
          <w:sz w:val="32"/>
          <w:szCs w:val="32"/>
          <w:lang w:val="zh-CN"/>
        </w:rPr>
        <w:t>签就业协议形式就业的有</w:t>
      </w:r>
      <w:r>
        <w:rPr>
          <w:rFonts w:hint="eastAsia" w:ascii="仿宋" w:hAnsi="仿宋" w:eastAsia="仿宋" w:cs="仿宋"/>
          <w:sz w:val="32"/>
          <w:szCs w:val="32"/>
        </w:rPr>
        <w:t>264</w:t>
      </w:r>
      <w:r>
        <w:rPr>
          <w:rFonts w:hint="eastAsia" w:ascii="仿宋" w:hAnsi="仿宋" w:eastAsia="仿宋" w:cs="仿宋"/>
          <w:sz w:val="32"/>
          <w:szCs w:val="32"/>
          <w:lang w:val="zh-CN"/>
        </w:rPr>
        <w:t>人</w:t>
      </w:r>
      <w:r>
        <w:rPr>
          <w:rFonts w:hint="eastAsia" w:ascii="仿宋" w:hAnsi="仿宋" w:eastAsia="仿宋" w:cs="仿宋"/>
          <w:sz w:val="32"/>
          <w:szCs w:val="32"/>
        </w:rPr>
        <w:t>，</w:t>
      </w:r>
      <w:r>
        <w:rPr>
          <w:rFonts w:hint="eastAsia" w:ascii="仿宋" w:hAnsi="仿宋" w:eastAsia="仿宋" w:cs="仿宋"/>
          <w:sz w:val="32"/>
          <w:szCs w:val="32"/>
          <w:lang w:val="zh-CN"/>
        </w:rPr>
        <w:t>占毕业生总人数的</w:t>
      </w:r>
      <w:r>
        <w:rPr>
          <w:rFonts w:hint="eastAsia" w:ascii="仿宋" w:hAnsi="仿宋" w:eastAsia="仿宋" w:cs="仿宋"/>
          <w:sz w:val="32"/>
          <w:szCs w:val="32"/>
        </w:rPr>
        <w:t>81.73%</w:t>
      </w:r>
      <w:r>
        <w:rPr>
          <w:rFonts w:hint="eastAsia" w:ascii="仿宋" w:hAnsi="仿宋" w:eastAsia="仿宋" w:cs="仿宋"/>
          <w:sz w:val="32"/>
          <w:szCs w:val="32"/>
          <w:lang w:val="zh-CN"/>
        </w:rPr>
        <w:t>。</w:t>
      </w:r>
    </w:p>
    <w:tbl>
      <w:tblPr>
        <w:tblStyle w:val="27"/>
        <w:tblW w:w="5000" w:type="pct"/>
        <w:tblInd w:w="0" w:type="dxa"/>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Layout w:type="autofit"/>
        <w:tblCellMar>
          <w:top w:w="0" w:type="dxa"/>
          <w:left w:w="108" w:type="dxa"/>
          <w:bottom w:w="0" w:type="dxa"/>
          <w:right w:w="108" w:type="dxa"/>
        </w:tblCellMar>
      </w:tblPr>
      <w:tblGrid>
        <w:gridCol w:w="3772"/>
        <w:gridCol w:w="2547"/>
        <w:gridCol w:w="2203"/>
      </w:tblGrid>
      <w:tr w14:paraId="0F8DFCBE">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439" w:hRule="atLeast"/>
        </w:trPr>
        <w:tc>
          <w:tcPr>
            <w:tcW w:w="2213" w:type="pct"/>
            <w:tcBorders>
              <w:top w:val="single" w:color="70AD47" w:themeColor="accent6" w:sz="4" w:space="0"/>
              <w:left w:val="single" w:color="70AD47" w:themeColor="accent6" w:sz="4" w:space="0"/>
              <w:bottom w:val="single" w:color="70AD47" w:themeColor="accent6" w:sz="4" w:space="0"/>
              <w:right w:val="nil"/>
              <w:insideH w:val="single" w:sz="4" w:space="0"/>
              <w:insideV w:val="nil"/>
            </w:tcBorders>
            <w:shd w:val="clear" w:color="auto" w:fill="70AD47" w:themeFill="accent6"/>
            <w:noWrap/>
          </w:tcPr>
          <w:p w14:paraId="791DD03D">
            <w:pPr>
              <w:widowControl/>
              <w:jc w:val="center"/>
              <w:rPr>
                <w:rFonts w:ascii="宋体" w:hAnsi="宋体" w:eastAsia="宋体" w:cs="宋体"/>
                <w:b w:val="0"/>
                <w:bCs w:val="0"/>
                <w:color w:val="FFFFFF" w:themeColor="background1"/>
                <w:kern w:val="0"/>
                <w:sz w:val="20"/>
                <w:szCs w:val="24"/>
                <w14:textFill>
                  <w14:solidFill>
                    <w14:schemeClr w14:val="bg1"/>
                  </w14:solidFill>
                </w14:textFill>
              </w:rPr>
            </w:pPr>
            <w:r>
              <w:rPr>
                <w:rFonts w:hint="eastAsia" w:ascii="宋体" w:hAnsi="宋体" w:eastAsia="宋体" w:cs="宋体"/>
                <w:b/>
                <w:bCs/>
                <w:color w:val="auto"/>
                <w:kern w:val="0"/>
                <w:sz w:val="20"/>
                <w:szCs w:val="24"/>
              </w:rPr>
              <w:t>毕业去向</w:t>
            </w:r>
          </w:p>
        </w:tc>
        <w:tc>
          <w:tcPr>
            <w:tcW w:w="1494" w:type="pct"/>
            <w:tcBorders>
              <w:top w:val="single" w:color="70AD47" w:themeColor="accent6" w:sz="4" w:space="0"/>
              <w:bottom w:val="single" w:color="70AD47" w:themeColor="accent6" w:sz="4" w:space="0"/>
              <w:right w:val="nil"/>
              <w:insideH w:val="single" w:sz="4" w:space="0"/>
              <w:insideV w:val="nil"/>
            </w:tcBorders>
            <w:shd w:val="clear" w:color="auto" w:fill="70AD47" w:themeFill="accent6"/>
            <w:noWrap/>
          </w:tcPr>
          <w:p w14:paraId="76FEF410">
            <w:pPr>
              <w:widowControl/>
              <w:jc w:val="center"/>
              <w:rPr>
                <w:rFonts w:ascii="宋体" w:hAnsi="宋体" w:eastAsia="宋体" w:cs="宋体"/>
                <w:b w:val="0"/>
                <w:bCs w:val="0"/>
                <w:color w:val="FFFFFF" w:themeColor="background1"/>
                <w:kern w:val="0"/>
                <w:sz w:val="20"/>
                <w:szCs w:val="24"/>
                <w14:textFill>
                  <w14:solidFill>
                    <w14:schemeClr w14:val="bg1"/>
                  </w14:solidFill>
                </w14:textFill>
              </w:rPr>
            </w:pPr>
            <w:r>
              <w:rPr>
                <w:rFonts w:hint="eastAsia" w:ascii="宋体" w:hAnsi="宋体" w:eastAsia="宋体" w:cs="宋体"/>
                <w:b/>
                <w:bCs/>
                <w:color w:val="auto"/>
                <w:kern w:val="0"/>
                <w:sz w:val="20"/>
                <w:szCs w:val="24"/>
              </w:rPr>
              <w:t>人数</w:t>
            </w:r>
          </w:p>
        </w:tc>
        <w:tc>
          <w:tcPr>
            <w:tcW w:w="1292" w:type="pct"/>
            <w:tcBorders>
              <w:top w:val="single" w:color="70AD47" w:themeColor="accent6" w:sz="4" w:space="0"/>
              <w:bottom w:val="single" w:color="70AD47" w:themeColor="accent6" w:sz="4" w:space="0"/>
              <w:right w:val="nil"/>
              <w:insideH w:val="single" w:sz="4" w:space="0"/>
              <w:insideV w:val="nil"/>
            </w:tcBorders>
            <w:shd w:val="clear" w:color="auto" w:fill="70AD47" w:themeFill="accent6"/>
            <w:noWrap/>
          </w:tcPr>
          <w:p w14:paraId="5C656433">
            <w:pPr>
              <w:widowControl/>
              <w:jc w:val="center"/>
              <w:rPr>
                <w:rFonts w:ascii="宋体" w:hAnsi="宋体" w:eastAsia="宋体" w:cs="宋体"/>
                <w:b w:val="0"/>
                <w:bCs w:val="0"/>
                <w:color w:val="FFFFFF" w:themeColor="background1"/>
                <w:kern w:val="0"/>
                <w:sz w:val="20"/>
                <w:szCs w:val="24"/>
                <w14:textFill>
                  <w14:solidFill>
                    <w14:schemeClr w14:val="bg1"/>
                  </w14:solidFill>
                </w14:textFill>
              </w:rPr>
            </w:pPr>
            <w:r>
              <w:rPr>
                <w:rFonts w:hint="eastAsia" w:ascii="宋体" w:hAnsi="宋体" w:eastAsia="宋体" w:cs="宋体"/>
                <w:b/>
                <w:bCs/>
                <w:color w:val="auto"/>
                <w:kern w:val="0"/>
                <w:sz w:val="20"/>
                <w:szCs w:val="24"/>
              </w:rPr>
              <w:t>占比</w:t>
            </w:r>
          </w:p>
        </w:tc>
      </w:tr>
      <w:tr w14:paraId="128A9792">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85" w:hRule="atLeast"/>
        </w:trPr>
        <w:tc>
          <w:tcPr>
            <w:tcW w:w="2213" w:type="pct"/>
            <w:shd w:val="clear" w:color="auto" w:fill="E2EFD9" w:themeFill="accent6" w:themeFillTint="33"/>
          </w:tcPr>
          <w:p w14:paraId="3896B208">
            <w:pPr>
              <w:widowControl/>
              <w:jc w:val="center"/>
              <w:rPr>
                <w:rFonts w:ascii="宋体" w:hAnsi="宋体" w:eastAsia="宋体" w:cs="宋体"/>
                <w:b/>
                <w:bCs w:val="0"/>
                <w:kern w:val="0"/>
                <w:sz w:val="20"/>
              </w:rPr>
            </w:pPr>
            <w:r>
              <w:rPr>
                <w:rFonts w:hint="eastAsia" w:ascii="宋体" w:hAnsi="宋体" w:eastAsia="宋体" w:cs="宋体"/>
                <w:b w:val="0"/>
                <w:bCs/>
                <w:kern w:val="0"/>
                <w:sz w:val="20"/>
              </w:rPr>
              <w:t>签就业协议形式就业</w:t>
            </w:r>
          </w:p>
        </w:tc>
        <w:tc>
          <w:tcPr>
            <w:tcW w:w="1494" w:type="pct"/>
            <w:shd w:val="clear" w:color="auto" w:fill="E2EFD9" w:themeFill="accent6" w:themeFillTint="33"/>
          </w:tcPr>
          <w:p w14:paraId="179A2399">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264</w:t>
            </w:r>
          </w:p>
        </w:tc>
        <w:tc>
          <w:tcPr>
            <w:tcW w:w="1292" w:type="pct"/>
            <w:shd w:val="clear" w:color="auto" w:fill="E2EFD9" w:themeFill="accent6" w:themeFillTint="33"/>
          </w:tcPr>
          <w:p w14:paraId="0391B67C">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81.73%</w:t>
            </w:r>
          </w:p>
        </w:tc>
      </w:tr>
      <w:tr w14:paraId="60ABAAFC">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85" w:hRule="atLeast"/>
        </w:trPr>
        <w:tc>
          <w:tcPr>
            <w:tcW w:w="2213" w:type="pct"/>
            <w:shd w:val="clear" w:color="auto" w:fill="E2EFD9" w:themeFill="accent6" w:themeFillTint="33"/>
          </w:tcPr>
          <w:p w14:paraId="08F4A52A">
            <w:pPr>
              <w:widowControl/>
              <w:jc w:val="center"/>
              <w:rPr>
                <w:rFonts w:ascii="宋体" w:hAnsi="宋体" w:eastAsia="宋体" w:cs="宋体"/>
                <w:b/>
                <w:bCs w:val="0"/>
                <w:kern w:val="0"/>
                <w:sz w:val="20"/>
              </w:rPr>
            </w:pPr>
            <w:r>
              <w:rPr>
                <w:rFonts w:hint="eastAsia" w:ascii="宋体" w:hAnsi="宋体" w:eastAsia="宋体" w:cs="宋体"/>
                <w:b w:val="0"/>
                <w:bCs/>
                <w:kern w:val="0"/>
                <w:sz w:val="20"/>
              </w:rPr>
              <w:t>专科升普通本科</w:t>
            </w:r>
          </w:p>
        </w:tc>
        <w:tc>
          <w:tcPr>
            <w:tcW w:w="1494" w:type="pct"/>
            <w:shd w:val="clear" w:color="auto" w:fill="E2EFD9" w:themeFill="accent6" w:themeFillTint="33"/>
          </w:tcPr>
          <w:p w14:paraId="76D2C3FB">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41</w:t>
            </w:r>
          </w:p>
        </w:tc>
        <w:tc>
          <w:tcPr>
            <w:tcW w:w="1292" w:type="pct"/>
            <w:shd w:val="clear" w:color="auto" w:fill="E2EFD9" w:themeFill="accent6" w:themeFillTint="33"/>
          </w:tcPr>
          <w:p w14:paraId="73D336BA">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12.69%</w:t>
            </w:r>
          </w:p>
        </w:tc>
      </w:tr>
      <w:tr w14:paraId="487A1A51">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85" w:hRule="atLeast"/>
        </w:trPr>
        <w:tc>
          <w:tcPr>
            <w:tcW w:w="2213" w:type="pct"/>
            <w:shd w:val="clear" w:color="auto" w:fill="E2EFD9" w:themeFill="accent6" w:themeFillTint="33"/>
          </w:tcPr>
          <w:p w14:paraId="483780F8">
            <w:pPr>
              <w:widowControl/>
              <w:jc w:val="center"/>
              <w:rPr>
                <w:rFonts w:ascii="宋体" w:hAnsi="宋体" w:eastAsia="宋体" w:cs="宋体"/>
                <w:b/>
                <w:bCs w:val="0"/>
                <w:kern w:val="0"/>
                <w:sz w:val="20"/>
              </w:rPr>
            </w:pPr>
            <w:r>
              <w:rPr>
                <w:rFonts w:hint="eastAsia" w:ascii="宋体" w:hAnsi="宋体" w:eastAsia="宋体" w:cs="宋体"/>
                <w:b w:val="0"/>
                <w:bCs/>
                <w:kern w:val="0"/>
                <w:sz w:val="20"/>
              </w:rPr>
              <w:t>应征义务兵</w:t>
            </w:r>
          </w:p>
        </w:tc>
        <w:tc>
          <w:tcPr>
            <w:tcW w:w="1494" w:type="pct"/>
            <w:shd w:val="clear" w:color="auto" w:fill="E2EFD9" w:themeFill="accent6" w:themeFillTint="33"/>
          </w:tcPr>
          <w:p w14:paraId="371BA192">
            <w:pPr>
              <w:widowControl/>
              <w:jc w:val="center"/>
              <w:rPr>
                <w:rFonts w:hint="default" w:ascii="Helvetica" w:hAnsi="Helvetica" w:eastAsia="宋体" w:cs="宋体"/>
                <w:kern w:val="0"/>
                <w:sz w:val="20"/>
                <w:szCs w:val="21"/>
                <w:lang w:val="en-US" w:eastAsia="zh-CN"/>
              </w:rPr>
            </w:pPr>
            <w:r>
              <w:rPr>
                <w:rFonts w:hint="eastAsia" w:ascii="Helvetica" w:hAnsi="Helvetica" w:eastAsia="宋体" w:cs="宋体"/>
                <w:kern w:val="0"/>
                <w:sz w:val="20"/>
                <w:szCs w:val="21"/>
                <w:lang w:val="en-US" w:eastAsia="zh-CN"/>
              </w:rPr>
              <w:t>12</w:t>
            </w:r>
          </w:p>
        </w:tc>
        <w:tc>
          <w:tcPr>
            <w:tcW w:w="1292" w:type="pct"/>
            <w:shd w:val="clear" w:color="auto" w:fill="E2EFD9" w:themeFill="accent6" w:themeFillTint="33"/>
          </w:tcPr>
          <w:p w14:paraId="4A448513">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lang w:val="en-US" w:eastAsia="zh-CN"/>
              </w:rPr>
              <w:t>3.72</w:t>
            </w:r>
            <w:r>
              <w:rPr>
                <w:rFonts w:hint="eastAsia" w:ascii="Helvetica" w:hAnsi="Helvetica" w:eastAsia="宋体" w:cs="宋体"/>
                <w:kern w:val="0"/>
                <w:sz w:val="20"/>
                <w:szCs w:val="21"/>
              </w:rPr>
              <w:t>%</w:t>
            </w:r>
          </w:p>
        </w:tc>
      </w:tr>
      <w:tr w14:paraId="49EC52F9">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85" w:hRule="atLeast"/>
        </w:trPr>
        <w:tc>
          <w:tcPr>
            <w:tcW w:w="2213" w:type="pct"/>
            <w:shd w:val="clear" w:color="auto" w:fill="E2EFD9" w:themeFill="accent6" w:themeFillTint="33"/>
          </w:tcPr>
          <w:p w14:paraId="1C9B4F87">
            <w:pPr>
              <w:widowControl/>
              <w:jc w:val="center"/>
              <w:rPr>
                <w:rFonts w:ascii="宋体" w:hAnsi="宋体" w:eastAsia="宋体" w:cs="宋体"/>
                <w:b/>
                <w:bCs w:val="0"/>
                <w:kern w:val="0"/>
                <w:sz w:val="20"/>
              </w:rPr>
            </w:pPr>
            <w:r>
              <w:rPr>
                <w:rFonts w:hint="eastAsia" w:ascii="宋体" w:hAnsi="宋体" w:eastAsia="宋体" w:cs="宋体"/>
                <w:b w:val="0"/>
                <w:bCs/>
                <w:kern w:val="0"/>
                <w:sz w:val="20"/>
              </w:rPr>
              <w:t>三支一扶</w:t>
            </w:r>
          </w:p>
        </w:tc>
        <w:tc>
          <w:tcPr>
            <w:tcW w:w="1494" w:type="pct"/>
            <w:shd w:val="clear" w:color="auto" w:fill="E2EFD9" w:themeFill="accent6" w:themeFillTint="33"/>
          </w:tcPr>
          <w:p w14:paraId="06BFCE41">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1</w:t>
            </w:r>
          </w:p>
        </w:tc>
        <w:tc>
          <w:tcPr>
            <w:tcW w:w="1292" w:type="pct"/>
            <w:shd w:val="clear" w:color="auto" w:fill="E2EFD9" w:themeFill="accent6" w:themeFillTint="33"/>
          </w:tcPr>
          <w:p w14:paraId="7C0ECEAF">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0.31%</w:t>
            </w:r>
          </w:p>
        </w:tc>
      </w:tr>
      <w:tr w14:paraId="21D3730C">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85" w:hRule="atLeast"/>
        </w:trPr>
        <w:tc>
          <w:tcPr>
            <w:tcW w:w="2213" w:type="pct"/>
            <w:shd w:val="clear" w:color="auto" w:fill="E2EFD9" w:themeFill="accent6" w:themeFillTint="33"/>
          </w:tcPr>
          <w:p w14:paraId="0D7DE160">
            <w:pPr>
              <w:widowControl/>
              <w:jc w:val="center"/>
              <w:rPr>
                <w:rFonts w:ascii="宋体" w:hAnsi="宋体" w:eastAsia="宋体" w:cs="宋体"/>
                <w:b/>
                <w:bCs w:val="0"/>
                <w:kern w:val="0"/>
                <w:sz w:val="20"/>
              </w:rPr>
            </w:pPr>
            <w:r>
              <w:rPr>
                <w:rFonts w:hint="eastAsia" w:ascii="宋体" w:hAnsi="宋体" w:eastAsia="宋体" w:cs="宋体"/>
                <w:b w:val="0"/>
                <w:bCs/>
                <w:kern w:val="0"/>
                <w:sz w:val="20"/>
              </w:rPr>
              <w:t>自由职业</w:t>
            </w:r>
          </w:p>
        </w:tc>
        <w:tc>
          <w:tcPr>
            <w:tcW w:w="1494" w:type="pct"/>
            <w:shd w:val="clear" w:color="auto" w:fill="E2EFD9" w:themeFill="accent6" w:themeFillTint="33"/>
          </w:tcPr>
          <w:p w14:paraId="2346B996">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1</w:t>
            </w:r>
          </w:p>
        </w:tc>
        <w:tc>
          <w:tcPr>
            <w:tcW w:w="1292" w:type="pct"/>
            <w:shd w:val="clear" w:color="auto" w:fill="E2EFD9" w:themeFill="accent6" w:themeFillTint="33"/>
          </w:tcPr>
          <w:p w14:paraId="3874F9AB">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0.31%</w:t>
            </w:r>
          </w:p>
        </w:tc>
      </w:tr>
      <w:tr w14:paraId="0F228D19">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85" w:hRule="atLeast"/>
        </w:trPr>
        <w:tc>
          <w:tcPr>
            <w:tcW w:w="2213" w:type="pct"/>
            <w:shd w:val="clear" w:color="auto" w:fill="E2EFD9" w:themeFill="accent6" w:themeFillTint="33"/>
          </w:tcPr>
          <w:p w14:paraId="395AA243">
            <w:pPr>
              <w:widowControl/>
              <w:jc w:val="center"/>
              <w:rPr>
                <w:rFonts w:ascii="宋体" w:hAnsi="宋体" w:eastAsia="宋体" w:cs="宋体"/>
                <w:b/>
                <w:bCs w:val="0"/>
                <w:kern w:val="0"/>
                <w:sz w:val="20"/>
              </w:rPr>
            </w:pPr>
            <w:r>
              <w:rPr>
                <w:rFonts w:hint="eastAsia" w:ascii="宋体" w:hAnsi="宋体" w:eastAsia="宋体" w:cs="宋体"/>
                <w:b w:val="0"/>
                <w:bCs/>
                <w:kern w:val="0"/>
                <w:sz w:val="20"/>
              </w:rPr>
              <w:t>暂未登记或未上报</w:t>
            </w:r>
          </w:p>
        </w:tc>
        <w:tc>
          <w:tcPr>
            <w:tcW w:w="1494" w:type="pct"/>
            <w:shd w:val="clear" w:color="auto" w:fill="E2EFD9" w:themeFill="accent6" w:themeFillTint="33"/>
          </w:tcPr>
          <w:p w14:paraId="4216EBFD">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4</w:t>
            </w:r>
          </w:p>
        </w:tc>
        <w:tc>
          <w:tcPr>
            <w:tcW w:w="1292" w:type="pct"/>
            <w:shd w:val="clear" w:color="auto" w:fill="E2EFD9" w:themeFill="accent6" w:themeFillTint="33"/>
          </w:tcPr>
          <w:p w14:paraId="3C9C78B5">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1.24%</w:t>
            </w:r>
          </w:p>
        </w:tc>
      </w:tr>
      <w:tr w14:paraId="540AC485">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85" w:hRule="atLeast"/>
        </w:trPr>
        <w:tc>
          <w:tcPr>
            <w:tcW w:w="2213" w:type="pct"/>
            <w:shd w:val="clear" w:color="auto" w:fill="E2EFD9" w:themeFill="accent6" w:themeFillTint="33"/>
          </w:tcPr>
          <w:p w14:paraId="04F39486">
            <w:pPr>
              <w:widowControl/>
              <w:jc w:val="center"/>
              <w:rPr>
                <w:rFonts w:ascii="宋体" w:hAnsi="宋体" w:eastAsia="宋体" w:cs="宋体"/>
                <w:b/>
                <w:bCs w:val="0"/>
                <w:kern w:val="0"/>
                <w:sz w:val="20"/>
              </w:rPr>
            </w:pPr>
            <w:r>
              <w:rPr>
                <w:rFonts w:hint="eastAsia" w:ascii="宋体" w:hAnsi="宋体" w:eastAsia="宋体" w:cs="宋体"/>
                <w:b w:val="0"/>
                <w:bCs/>
                <w:kern w:val="0"/>
                <w:sz w:val="20"/>
              </w:rPr>
              <w:t>合计</w:t>
            </w:r>
          </w:p>
        </w:tc>
        <w:tc>
          <w:tcPr>
            <w:tcW w:w="1494" w:type="pct"/>
            <w:shd w:val="clear" w:color="auto" w:fill="E2EFD9" w:themeFill="accent6" w:themeFillTint="33"/>
          </w:tcPr>
          <w:p w14:paraId="013A715F">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323</w:t>
            </w:r>
          </w:p>
        </w:tc>
        <w:tc>
          <w:tcPr>
            <w:tcW w:w="1292" w:type="pct"/>
            <w:shd w:val="clear" w:color="auto" w:fill="E2EFD9" w:themeFill="accent6" w:themeFillTint="33"/>
          </w:tcPr>
          <w:p w14:paraId="7E181BC2">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100%</w:t>
            </w:r>
          </w:p>
        </w:tc>
      </w:tr>
    </w:tbl>
    <w:p w14:paraId="4086A0A8">
      <w:pPr>
        <w:pStyle w:val="3"/>
        <w:pageBreakBefore w:val="0"/>
        <w:widowControl w:val="0"/>
        <w:numPr>
          <w:ilvl w:val="0"/>
          <w:numId w:val="0"/>
        </w:numPr>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毕业生</w:t>
      </w:r>
      <w:r>
        <w:rPr>
          <w:rFonts w:hint="eastAsia" w:ascii="仿宋" w:hAnsi="仿宋" w:eastAsia="仿宋" w:cs="仿宋"/>
          <w:sz w:val="32"/>
          <w:szCs w:val="32"/>
        </w:rPr>
        <w:t xml:space="preserve">分性别就业情况 </w:t>
      </w:r>
    </w:p>
    <w:p w14:paraId="3D3804F0">
      <w:pPr>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zh-CN"/>
        </w:rPr>
      </w:pPr>
      <w:r>
        <w:rPr>
          <w:rFonts w:hint="eastAsia" w:ascii="仿宋" w:hAnsi="仿宋" w:eastAsia="仿宋" w:cs="仿宋"/>
          <w:b w:val="0"/>
          <w:bCs w:val="0"/>
          <w:sz w:val="32"/>
          <w:szCs w:val="32"/>
          <w:lang w:eastAsia="zh-CN"/>
        </w:rPr>
        <w:t>我院</w:t>
      </w:r>
      <w:r>
        <w:rPr>
          <w:rFonts w:hint="eastAsia" w:ascii="仿宋" w:hAnsi="仿宋" w:eastAsia="仿宋" w:cs="仿宋"/>
          <w:b w:val="0"/>
          <w:bCs w:val="0"/>
          <w:sz w:val="32"/>
          <w:szCs w:val="32"/>
        </w:rPr>
        <w:t>202</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届毕业生中，男生占</w:t>
      </w:r>
      <w:r>
        <w:rPr>
          <w:rFonts w:hint="eastAsia" w:ascii="仿宋" w:hAnsi="仿宋" w:eastAsia="仿宋" w:cs="仿宋"/>
          <w:b w:val="0"/>
          <w:bCs w:val="0"/>
          <w:sz w:val="32"/>
          <w:szCs w:val="32"/>
          <w:lang w:val="en-US" w:eastAsia="zh-CN"/>
        </w:rPr>
        <w:t>37.15</w:t>
      </w:r>
      <w:r>
        <w:rPr>
          <w:rFonts w:hint="eastAsia" w:ascii="仿宋" w:hAnsi="仿宋" w:eastAsia="仿宋" w:cs="仿宋"/>
          <w:b w:val="0"/>
          <w:bCs w:val="0"/>
          <w:sz w:val="32"/>
          <w:szCs w:val="32"/>
        </w:rPr>
        <w:t>%，女生占</w:t>
      </w:r>
      <w:r>
        <w:rPr>
          <w:rFonts w:hint="eastAsia" w:ascii="仿宋" w:hAnsi="仿宋" w:eastAsia="仿宋" w:cs="仿宋"/>
          <w:b w:val="0"/>
          <w:bCs w:val="0"/>
          <w:sz w:val="32"/>
          <w:szCs w:val="32"/>
          <w:lang w:val="en-US" w:eastAsia="zh-CN"/>
        </w:rPr>
        <w:t>62.85</w:t>
      </w:r>
      <w:r>
        <w:rPr>
          <w:rFonts w:hint="eastAsia" w:ascii="仿宋" w:hAnsi="仿宋" w:eastAsia="仿宋" w:cs="仿宋"/>
          <w:b w:val="0"/>
          <w:bCs w:val="0"/>
          <w:sz w:val="32"/>
          <w:szCs w:val="32"/>
        </w:rPr>
        <w:t>%。</w:t>
      </w:r>
      <w:r>
        <w:rPr>
          <w:rFonts w:hint="eastAsia" w:ascii="仿宋" w:hAnsi="仿宋" w:eastAsia="仿宋" w:cs="仿宋"/>
          <w:sz w:val="32"/>
          <w:szCs w:val="32"/>
          <w:lang w:val="zh-CN"/>
        </w:rPr>
        <w:t>男生</w:t>
      </w:r>
      <w:r>
        <w:rPr>
          <w:rFonts w:hint="eastAsia" w:ascii="仿宋" w:hAnsi="仿宋" w:eastAsia="仿宋" w:cs="仿宋"/>
          <w:sz w:val="32"/>
          <w:szCs w:val="32"/>
          <w:lang w:eastAsia="zh-Hans"/>
        </w:rPr>
        <w:t>落实</w:t>
      </w:r>
      <w:r>
        <w:rPr>
          <w:rFonts w:hint="eastAsia" w:ascii="仿宋" w:hAnsi="仿宋" w:eastAsia="仿宋" w:cs="仿宋"/>
          <w:sz w:val="32"/>
          <w:szCs w:val="32"/>
          <w:lang w:val="zh-CN"/>
        </w:rPr>
        <w:t>率为</w:t>
      </w:r>
      <w:r>
        <w:rPr>
          <w:rFonts w:hint="eastAsia" w:ascii="仿宋" w:hAnsi="仿宋" w:eastAsia="仿宋" w:cs="仿宋"/>
          <w:sz w:val="32"/>
          <w:szCs w:val="32"/>
        </w:rPr>
        <w:t>95.83%，</w:t>
      </w:r>
      <w:r>
        <w:rPr>
          <w:rFonts w:hint="eastAsia" w:ascii="仿宋" w:hAnsi="仿宋" w:eastAsia="仿宋" w:cs="仿宋"/>
          <w:sz w:val="32"/>
          <w:szCs w:val="32"/>
          <w:lang w:val="zh-CN"/>
        </w:rPr>
        <w:t>女生</w:t>
      </w:r>
      <w:r>
        <w:rPr>
          <w:rFonts w:hint="eastAsia" w:ascii="仿宋" w:hAnsi="仿宋" w:eastAsia="仿宋" w:cs="仿宋"/>
          <w:sz w:val="32"/>
          <w:szCs w:val="32"/>
          <w:lang w:eastAsia="zh-Hans"/>
        </w:rPr>
        <w:t>落实</w:t>
      </w:r>
      <w:r>
        <w:rPr>
          <w:rFonts w:hint="eastAsia" w:ascii="仿宋" w:hAnsi="仿宋" w:eastAsia="仿宋" w:cs="仿宋"/>
          <w:sz w:val="32"/>
          <w:szCs w:val="32"/>
          <w:lang w:val="zh-CN"/>
        </w:rPr>
        <w:t>率为</w:t>
      </w:r>
      <w:r>
        <w:rPr>
          <w:rFonts w:hint="eastAsia" w:ascii="仿宋" w:hAnsi="仿宋" w:eastAsia="仿宋" w:cs="仿宋"/>
          <w:sz w:val="32"/>
          <w:szCs w:val="32"/>
        </w:rPr>
        <w:t>98.03%</w:t>
      </w:r>
      <w:r>
        <w:rPr>
          <w:rFonts w:hint="eastAsia" w:ascii="仿宋" w:hAnsi="仿宋" w:eastAsia="仿宋" w:cs="仿宋"/>
          <w:sz w:val="32"/>
          <w:szCs w:val="32"/>
          <w:lang w:val="zh-CN"/>
        </w:rPr>
        <w:t>。</w:t>
      </w:r>
    </w:p>
    <w:tbl>
      <w:tblPr>
        <w:tblStyle w:val="27"/>
        <w:tblW w:w="5000" w:type="pct"/>
        <w:tblInd w:w="0" w:type="dxa"/>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Layout w:type="autofit"/>
        <w:tblCellMar>
          <w:top w:w="0" w:type="dxa"/>
          <w:left w:w="108" w:type="dxa"/>
          <w:bottom w:w="0" w:type="dxa"/>
          <w:right w:w="108" w:type="dxa"/>
        </w:tblCellMar>
      </w:tblPr>
      <w:tblGrid>
        <w:gridCol w:w="1728"/>
        <w:gridCol w:w="1592"/>
        <w:gridCol w:w="1592"/>
        <w:gridCol w:w="1733"/>
        <w:gridCol w:w="1877"/>
      </w:tblGrid>
      <w:tr w14:paraId="67EAA298">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70" w:hRule="atLeast"/>
        </w:trPr>
        <w:tc>
          <w:tcPr>
            <w:tcW w:w="1014" w:type="pct"/>
            <w:tcBorders>
              <w:top w:val="single" w:color="70AD47" w:themeColor="accent6" w:sz="4" w:space="0"/>
              <w:left w:val="single" w:color="70AD47" w:themeColor="accent6" w:sz="4" w:space="0"/>
              <w:bottom w:val="single" w:color="70AD47" w:themeColor="accent6" w:sz="4" w:space="0"/>
              <w:right w:val="nil"/>
              <w:insideH w:val="single" w:sz="4" w:space="0"/>
              <w:insideV w:val="nil"/>
            </w:tcBorders>
            <w:shd w:val="clear" w:color="auto" w:fill="70AD47" w:themeFill="accent6"/>
            <w:noWrap/>
          </w:tcPr>
          <w:p w14:paraId="048E6F2F">
            <w:pPr>
              <w:widowControl/>
              <w:jc w:val="center"/>
              <w:rPr>
                <w:rFonts w:ascii="宋体" w:hAnsi="宋体" w:eastAsia="宋体" w:cs="宋体"/>
                <w:b w:val="0"/>
                <w:bCs w:val="0"/>
                <w:color w:val="FFFFFF" w:themeColor="background1"/>
                <w:kern w:val="0"/>
                <w:sz w:val="20"/>
                <w14:textFill>
                  <w14:solidFill>
                    <w14:schemeClr w14:val="bg1"/>
                  </w14:solidFill>
                </w14:textFill>
              </w:rPr>
            </w:pPr>
            <w:r>
              <w:rPr>
                <w:rFonts w:hint="eastAsia" w:ascii="宋体" w:hAnsi="宋体" w:eastAsia="宋体" w:cs="宋体"/>
                <w:b/>
                <w:bCs/>
                <w:color w:val="auto"/>
                <w:kern w:val="0"/>
                <w:sz w:val="20"/>
              </w:rPr>
              <w:t>性别</w:t>
            </w:r>
          </w:p>
        </w:tc>
        <w:tc>
          <w:tcPr>
            <w:tcW w:w="934" w:type="pct"/>
            <w:tcBorders>
              <w:top w:val="single" w:color="70AD47" w:themeColor="accent6" w:sz="4" w:space="0"/>
              <w:bottom w:val="single" w:color="70AD47" w:themeColor="accent6" w:sz="4" w:space="0"/>
              <w:right w:val="nil"/>
              <w:insideH w:val="single" w:sz="4" w:space="0"/>
              <w:insideV w:val="nil"/>
            </w:tcBorders>
            <w:shd w:val="clear" w:color="auto" w:fill="70AD47" w:themeFill="accent6"/>
            <w:noWrap/>
          </w:tcPr>
          <w:p w14:paraId="19DD8810">
            <w:pPr>
              <w:widowControl/>
              <w:jc w:val="center"/>
              <w:rPr>
                <w:rFonts w:ascii="宋体" w:hAnsi="宋体" w:eastAsia="宋体" w:cs="宋体"/>
                <w:b w:val="0"/>
                <w:bCs w:val="0"/>
                <w:color w:val="FFFFFF" w:themeColor="background1"/>
                <w:kern w:val="0"/>
                <w:sz w:val="20"/>
                <w14:textFill>
                  <w14:solidFill>
                    <w14:schemeClr w14:val="bg1"/>
                  </w14:solidFill>
                </w14:textFill>
              </w:rPr>
            </w:pPr>
            <w:r>
              <w:rPr>
                <w:rFonts w:hint="eastAsia" w:ascii="宋体" w:hAnsi="宋体" w:eastAsia="宋体" w:cs="宋体"/>
                <w:b/>
                <w:bCs/>
                <w:color w:val="auto"/>
                <w:kern w:val="0"/>
                <w:sz w:val="20"/>
              </w:rPr>
              <w:t>毕业生数</w:t>
            </w:r>
          </w:p>
        </w:tc>
        <w:tc>
          <w:tcPr>
            <w:tcW w:w="934" w:type="pct"/>
            <w:tcBorders>
              <w:top w:val="single" w:color="70AD47" w:themeColor="accent6" w:sz="4" w:space="0"/>
              <w:bottom w:val="single" w:color="70AD47" w:themeColor="accent6" w:sz="4" w:space="0"/>
              <w:right w:val="nil"/>
              <w:insideH w:val="single" w:sz="4" w:space="0"/>
              <w:insideV w:val="nil"/>
            </w:tcBorders>
            <w:shd w:val="clear" w:color="auto" w:fill="70AD47" w:themeFill="accent6"/>
          </w:tcPr>
          <w:p w14:paraId="0028035B">
            <w:pPr>
              <w:widowControl/>
              <w:jc w:val="center"/>
              <w:rPr>
                <w:rFonts w:ascii="宋体" w:hAnsi="宋体" w:eastAsia="宋体" w:cs="宋体"/>
                <w:b w:val="0"/>
                <w:bCs w:val="0"/>
                <w:color w:val="FFFFFF" w:themeColor="background1"/>
                <w:kern w:val="0"/>
                <w:sz w:val="20"/>
                <w14:textFill>
                  <w14:solidFill>
                    <w14:schemeClr w14:val="bg1"/>
                  </w14:solidFill>
                </w14:textFill>
              </w:rPr>
            </w:pPr>
            <w:r>
              <w:rPr>
                <w:rFonts w:hint="eastAsia" w:ascii="宋体" w:hAnsi="宋体" w:eastAsia="宋体" w:cs="宋体"/>
                <w:b/>
                <w:bCs/>
                <w:color w:val="auto"/>
                <w:kern w:val="0"/>
                <w:sz w:val="20"/>
              </w:rPr>
              <w:t>生源</w:t>
            </w:r>
            <w:r>
              <w:rPr>
                <w:rFonts w:ascii="宋体" w:hAnsi="宋体" w:eastAsia="宋体" w:cs="宋体"/>
                <w:b/>
                <w:bCs/>
                <w:color w:val="auto"/>
                <w:kern w:val="0"/>
                <w:sz w:val="20"/>
              </w:rPr>
              <w:t>占比</w:t>
            </w:r>
          </w:p>
        </w:tc>
        <w:tc>
          <w:tcPr>
            <w:tcW w:w="1017" w:type="pct"/>
            <w:tcBorders>
              <w:top w:val="single" w:color="70AD47" w:themeColor="accent6" w:sz="4" w:space="0"/>
              <w:bottom w:val="single" w:color="70AD47" w:themeColor="accent6" w:sz="4" w:space="0"/>
              <w:right w:val="nil"/>
              <w:insideH w:val="single" w:sz="4" w:space="0"/>
              <w:insideV w:val="nil"/>
            </w:tcBorders>
            <w:shd w:val="clear" w:color="auto" w:fill="70AD47" w:themeFill="accent6"/>
            <w:noWrap/>
          </w:tcPr>
          <w:p w14:paraId="7BFCCA09">
            <w:pPr>
              <w:widowControl/>
              <w:jc w:val="center"/>
              <w:rPr>
                <w:rFonts w:ascii="宋体" w:hAnsi="宋体" w:eastAsia="宋体" w:cs="宋体"/>
                <w:b w:val="0"/>
                <w:bCs w:val="0"/>
                <w:color w:val="FFFFFF" w:themeColor="background1"/>
                <w:kern w:val="0"/>
                <w:sz w:val="20"/>
                <w14:textFill>
                  <w14:solidFill>
                    <w14:schemeClr w14:val="bg1"/>
                  </w14:solidFill>
                </w14:textFill>
              </w:rPr>
            </w:pPr>
            <w:r>
              <w:rPr>
                <w:rFonts w:hint="eastAsia" w:ascii="宋体" w:hAnsi="宋体" w:eastAsia="宋体" w:cs="宋体"/>
                <w:b/>
                <w:bCs/>
                <w:color w:val="auto"/>
                <w:kern w:val="0"/>
                <w:sz w:val="20"/>
                <w:szCs w:val="24"/>
              </w:rPr>
              <w:t>落实人数</w:t>
            </w:r>
          </w:p>
        </w:tc>
        <w:tc>
          <w:tcPr>
            <w:tcW w:w="1102" w:type="pct"/>
            <w:tcBorders>
              <w:top w:val="single" w:color="70AD47" w:themeColor="accent6" w:sz="4" w:space="0"/>
              <w:bottom w:val="single" w:color="70AD47" w:themeColor="accent6" w:sz="4" w:space="0"/>
              <w:right w:val="single" w:color="70AD47" w:themeColor="accent6" w:sz="4" w:space="0"/>
              <w:insideH w:val="single" w:sz="4" w:space="0"/>
              <w:insideV w:val="nil"/>
            </w:tcBorders>
            <w:shd w:val="clear" w:color="auto" w:fill="70AD47" w:themeFill="accent6"/>
            <w:noWrap/>
          </w:tcPr>
          <w:p w14:paraId="4DFCE65D">
            <w:pPr>
              <w:widowControl/>
              <w:jc w:val="center"/>
              <w:rPr>
                <w:rFonts w:ascii="宋体" w:hAnsi="宋体" w:eastAsia="宋体" w:cs="宋体"/>
                <w:b w:val="0"/>
                <w:bCs w:val="0"/>
                <w:color w:val="FFFFFF" w:themeColor="background1"/>
                <w:kern w:val="0"/>
                <w:sz w:val="20"/>
                <w14:textFill>
                  <w14:solidFill>
                    <w14:schemeClr w14:val="bg1"/>
                  </w14:solidFill>
                </w14:textFill>
              </w:rPr>
            </w:pPr>
            <w:r>
              <w:rPr>
                <w:rFonts w:hint="eastAsia" w:ascii="宋体" w:hAnsi="宋体" w:eastAsia="宋体" w:cs="宋体"/>
                <w:b/>
                <w:bCs/>
                <w:color w:val="auto"/>
                <w:kern w:val="0"/>
                <w:sz w:val="20"/>
                <w:lang w:eastAsia="zh-Hans"/>
              </w:rPr>
              <w:t>落实</w:t>
            </w:r>
            <w:r>
              <w:rPr>
                <w:rFonts w:hint="eastAsia" w:ascii="宋体" w:hAnsi="宋体" w:eastAsia="宋体" w:cs="宋体"/>
                <w:b/>
                <w:bCs/>
                <w:color w:val="auto"/>
                <w:kern w:val="0"/>
                <w:sz w:val="20"/>
              </w:rPr>
              <w:t>率</w:t>
            </w:r>
          </w:p>
        </w:tc>
      </w:tr>
      <w:tr w14:paraId="7DDC4F72">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70" w:hRule="atLeast"/>
        </w:trPr>
        <w:tc>
          <w:tcPr>
            <w:tcW w:w="1014" w:type="pct"/>
            <w:shd w:val="clear" w:color="auto" w:fill="E2EFD9" w:themeFill="accent6" w:themeFillTint="33"/>
            <w:noWrap/>
          </w:tcPr>
          <w:p w14:paraId="31B1DE4B">
            <w:pPr>
              <w:widowControl/>
              <w:jc w:val="center"/>
              <w:rPr>
                <w:rFonts w:ascii="宋体" w:hAnsi="宋体" w:eastAsia="宋体" w:cs="宋体"/>
                <w:b/>
                <w:bCs w:val="0"/>
                <w:kern w:val="0"/>
                <w:sz w:val="20"/>
              </w:rPr>
            </w:pPr>
            <w:r>
              <w:rPr>
                <w:rFonts w:hint="eastAsia" w:ascii="宋体" w:hAnsi="宋体" w:eastAsia="宋体" w:cs="宋体"/>
                <w:b w:val="0"/>
                <w:bCs/>
                <w:kern w:val="0"/>
                <w:sz w:val="20"/>
              </w:rPr>
              <w:t>男</w:t>
            </w:r>
          </w:p>
        </w:tc>
        <w:tc>
          <w:tcPr>
            <w:tcW w:w="934" w:type="pct"/>
            <w:shd w:val="clear" w:color="auto" w:fill="E2EFD9" w:themeFill="accent6" w:themeFillTint="33"/>
            <w:noWrap/>
          </w:tcPr>
          <w:p w14:paraId="396331A6">
            <w:pPr>
              <w:widowControl/>
              <w:jc w:val="center"/>
              <w:rPr>
                <w:rFonts w:hint="eastAsia" w:ascii="Helvetica" w:hAnsi="Helvetica" w:eastAsia="宋体" w:cs="宋体"/>
                <w:kern w:val="0"/>
                <w:sz w:val="20"/>
                <w:szCs w:val="21"/>
              </w:rPr>
            </w:pPr>
            <w:r>
              <w:rPr>
                <w:rFonts w:ascii="Helvetica" w:hAnsi="Helvetica" w:eastAsia="宋体" w:cs="宋体"/>
                <w:kern w:val="0"/>
                <w:sz w:val="20"/>
                <w:szCs w:val="21"/>
              </w:rPr>
              <w:t>120</w:t>
            </w:r>
          </w:p>
        </w:tc>
        <w:tc>
          <w:tcPr>
            <w:tcW w:w="934" w:type="pct"/>
            <w:shd w:val="clear" w:color="auto" w:fill="E2EFD9" w:themeFill="accent6" w:themeFillTint="33"/>
          </w:tcPr>
          <w:p w14:paraId="1C222494">
            <w:pPr>
              <w:widowControl/>
              <w:jc w:val="center"/>
              <w:rPr>
                <w:rFonts w:hint="eastAsia" w:ascii="Helvetica" w:hAnsi="Helvetica" w:eastAsia="宋体" w:cs="宋体"/>
                <w:kern w:val="0"/>
                <w:sz w:val="20"/>
                <w:szCs w:val="21"/>
              </w:rPr>
            </w:pPr>
            <w:r>
              <w:rPr>
                <w:rFonts w:ascii="Helvetica" w:hAnsi="Helvetica" w:eastAsia="宋体" w:cs="宋体"/>
                <w:kern w:val="0"/>
                <w:sz w:val="20"/>
                <w:szCs w:val="21"/>
              </w:rPr>
              <w:t>37.15%</w:t>
            </w:r>
          </w:p>
        </w:tc>
        <w:tc>
          <w:tcPr>
            <w:tcW w:w="1017" w:type="pct"/>
            <w:shd w:val="clear" w:color="auto" w:fill="E2EFD9" w:themeFill="accent6" w:themeFillTint="33"/>
            <w:noWrap/>
          </w:tcPr>
          <w:p w14:paraId="1DD4334A">
            <w:pPr>
              <w:widowControl/>
              <w:jc w:val="center"/>
              <w:rPr>
                <w:rFonts w:hint="default" w:ascii="Helvetica" w:hAnsi="Helvetica" w:eastAsia="宋体" w:cs="宋体"/>
                <w:kern w:val="0"/>
                <w:sz w:val="20"/>
                <w:szCs w:val="21"/>
                <w:lang w:val="en-US" w:eastAsia="zh-CN"/>
              </w:rPr>
            </w:pPr>
            <w:r>
              <w:rPr>
                <w:rFonts w:hint="eastAsia" w:ascii="Helvetica" w:hAnsi="Helvetica" w:eastAsia="宋体" w:cs="宋体"/>
                <w:kern w:val="0"/>
                <w:sz w:val="20"/>
                <w:szCs w:val="21"/>
                <w:lang w:val="en-US" w:eastAsia="zh-CN"/>
              </w:rPr>
              <w:t>120</w:t>
            </w:r>
          </w:p>
        </w:tc>
        <w:tc>
          <w:tcPr>
            <w:tcW w:w="1102" w:type="pct"/>
            <w:shd w:val="clear" w:color="auto" w:fill="E2EFD9" w:themeFill="accent6" w:themeFillTint="33"/>
            <w:noWrap/>
          </w:tcPr>
          <w:p w14:paraId="2CAFFADB">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lang w:val="en-US" w:eastAsia="zh-CN"/>
              </w:rPr>
              <w:t>100</w:t>
            </w:r>
            <w:r>
              <w:rPr>
                <w:rFonts w:ascii="Helvetica" w:hAnsi="Helvetica" w:eastAsia="宋体" w:cs="宋体"/>
                <w:kern w:val="0"/>
                <w:sz w:val="20"/>
                <w:szCs w:val="21"/>
              </w:rPr>
              <w:t>%</w:t>
            </w:r>
          </w:p>
        </w:tc>
      </w:tr>
      <w:tr w14:paraId="1B81456D">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70" w:hRule="atLeast"/>
        </w:trPr>
        <w:tc>
          <w:tcPr>
            <w:tcW w:w="1014" w:type="pct"/>
            <w:shd w:val="clear" w:color="auto" w:fill="E2EFD9" w:themeFill="accent6" w:themeFillTint="33"/>
            <w:noWrap/>
          </w:tcPr>
          <w:p w14:paraId="7C38131F">
            <w:pPr>
              <w:widowControl/>
              <w:jc w:val="center"/>
              <w:rPr>
                <w:rFonts w:ascii="宋体" w:hAnsi="宋体" w:eastAsia="宋体" w:cs="宋体"/>
                <w:b/>
                <w:bCs w:val="0"/>
                <w:kern w:val="0"/>
                <w:sz w:val="20"/>
              </w:rPr>
            </w:pPr>
            <w:r>
              <w:rPr>
                <w:rFonts w:hint="eastAsia" w:ascii="宋体" w:hAnsi="宋体" w:eastAsia="宋体" w:cs="宋体"/>
                <w:b w:val="0"/>
                <w:bCs/>
                <w:kern w:val="0"/>
                <w:sz w:val="20"/>
              </w:rPr>
              <w:t>女</w:t>
            </w:r>
          </w:p>
        </w:tc>
        <w:tc>
          <w:tcPr>
            <w:tcW w:w="934" w:type="pct"/>
            <w:shd w:val="clear" w:color="auto" w:fill="E2EFD9" w:themeFill="accent6" w:themeFillTint="33"/>
            <w:noWrap/>
          </w:tcPr>
          <w:p w14:paraId="4CFF4A87">
            <w:pPr>
              <w:widowControl/>
              <w:jc w:val="center"/>
              <w:rPr>
                <w:rFonts w:hint="eastAsia" w:ascii="Helvetica" w:hAnsi="Helvetica" w:eastAsia="宋体" w:cs="宋体"/>
                <w:kern w:val="0"/>
                <w:sz w:val="20"/>
                <w:szCs w:val="21"/>
              </w:rPr>
            </w:pPr>
            <w:r>
              <w:rPr>
                <w:rFonts w:ascii="Helvetica" w:hAnsi="Helvetica" w:eastAsia="宋体" w:cs="宋体"/>
                <w:kern w:val="0"/>
                <w:sz w:val="20"/>
                <w:szCs w:val="21"/>
              </w:rPr>
              <w:t>203</w:t>
            </w:r>
          </w:p>
        </w:tc>
        <w:tc>
          <w:tcPr>
            <w:tcW w:w="934" w:type="pct"/>
            <w:shd w:val="clear" w:color="auto" w:fill="E2EFD9" w:themeFill="accent6" w:themeFillTint="33"/>
          </w:tcPr>
          <w:p w14:paraId="27926FE7">
            <w:pPr>
              <w:widowControl/>
              <w:jc w:val="center"/>
              <w:rPr>
                <w:rFonts w:hint="eastAsia" w:ascii="Helvetica" w:hAnsi="Helvetica" w:eastAsia="宋体" w:cs="宋体"/>
                <w:kern w:val="0"/>
                <w:sz w:val="20"/>
                <w:szCs w:val="21"/>
              </w:rPr>
            </w:pPr>
            <w:r>
              <w:rPr>
                <w:rFonts w:ascii="Helvetica" w:hAnsi="Helvetica" w:eastAsia="宋体" w:cs="宋体"/>
                <w:kern w:val="0"/>
                <w:sz w:val="20"/>
                <w:szCs w:val="21"/>
              </w:rPr>
              <w:t>62.85%</w:t>
            </w:r>
          </w:p>
        </w:tc>
        <w:tc>
          <w:tcPr>
            <w:tcW w:w="1017" w:type="pct"/>
            <w:shd w:val="clear" w:color="auto" w:fill="E2EFD9" w:themeFill="accent6" w:themeFillTint="33"/>
            <w:noWrap/>
          </w:tcPr>
          <w:p w14:paraId="33F0D2C4">
            <w:pPr>
              <w:widowControl/>
              <w:jc w:val="center"/>
              <w:rPr>
                <w:rFonts w:hint="eastAsia" w:ascii="Helvetica" w:hAnsi="Helvetica" w:eastAsia="宋体" w:cs="宋体"/>
                <w:kern w:val="0"/>
                <w:sz w:val="20"/>
                <w:szCs w:val="21"/>
              </w:rPr>
            </w:pPr>
            <w:r>
              <w:rPr>
                <w:rFonts w:ascii="Helvetica" w:hAnsi="Helvetica" w:eastAsia="宋体" w:cs="宋体"/>
                <w:kern w:val="0"/>
                <w:sz w:val="20"/>
                <w:szCs w:val="21"/>
              </w:rPr>
              <w:t>199</w:t>
            </w:r>
          </w:p>
        </w:tc>
        <w:tc>
          <w:tcPr>
            <w:tcW w:w="1102" w:type="pct"/>
            <w:shd w:val="clear" w:color="auto" w:fill="E2EFD9" w:themeFill="accent6" w:themeFillTint="33"/>
            <w:noWrap/>
          </w:tcPr>
          <w:p w14:paraId="197F06EB">
            <w:pPr>
              <w:widowControl/>
              <w:jc w:val="center"/>
              <w:rPr>
                <w:rFonts w:hint="eastAsia" w:ascii="Helvetica" w:hAnsi="Helvetica" w:eastAsia="宋体" w:cs="宋体"/>
                <w:kern w:val="0"/>
                <w:sz w:val="20"/>
                <w:szCs w:val="21"/>
              </w:rPr>
            </w:pPr>
            <w:r>
              <w:rPr>
                <w:rFonts w:ascii="Helvetica" w:hAnsi="Helvetica" w:eastAsia="宋体" w:cs="宋体"/>
                <w:kern w:val="0"/>
                <w:sz w:val="20"/>
                <w:szCs w:val="21"/>
              </w:rPr>
              <w:t>98.03%</w:t>
            </w:r>
          </w:p>
        </w:tc>
      </w:tr>
      <w:tr w14:paraId="563342B4">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70" w:hRule="atLeast"/>
        </w:trPr>
        <w:tc>
          <w:tcPr>
            <w:tcW w:w="1014" w:type="pct"/>
            <w:shd w:val="clear" w:color="auto" w:fill="E2EFD9" w:themeFill="accent6" w:themeFillTint="33"/>
            <w:noWrap/>
          </w:tcPr>
          <w:p w14:paraId="653C76E3">
            <w:pPr>
              <w:widowControl/>
              <w:jc w:val="center"/>
              <w:rPr>
                <w:rFonts w:ascii="宋体" w:hAnsi="宋体" w:eastAsia="宋体" w:cs="宋体"/>
                <w:b/>
                <w:bCs w:val="0"/>
                <w:kern w:val="0"/>
                <w:sz w:val="20"/>
              </w:rPr>
            </w:pPr>
            <w:r>
              <w:rPr>
                <w:rFonts w:hint="eastAsia" w:ascii="宋体" w:hAnsi="宋体" w:eastAsia="宋体" w:cs="宋体"/>
                <w:b w:val="0"/>
                <w:bCs/>
                <w:kern w:val="0"/>
                <w:sz w:val="20"/>
              </w:rPr>
              <w:t>合计</w:t>
            </w:r>
          </w:p>
        </w:tc>
        <w:tc>
          <w:tcPr>
            <w:tcW w:w="934" w:type="pct"/>
            <w:shd w:val="clear" w:color="auto" w:fill="E2EFD9" w:themeFill="accent6" w:themeFillTint="33"/>
            <w:noWrap/>
          </w:tcPr>
          <w:p w14:paraId="76765321">
            <w:pPr>
              <w:widowControl/>
              <w:jc w:val="center"/>
              <w:rPr>
                <w:rFonts w:hint="eastAsia" w:ascii="Helvetica" w:hAnsi="Helvetica" w:eastAsia="宋体" w:cs="宋体"/>
                <w:kern w:val="0"/>
                <w:sz w:val="20"/>
                <w:szCs w:val="21"/>
              </w:rPr>
            </w:pPr>
            <w:r>
              <w:rPr>
                <w:rFonts w:ascii="Helvetica" w:hAnsi="Helvetica" w:eastAsia="宋体" w:cs="宋体"/>
                <w:kern w:val="0"/>
                <w:sz w:val="20"/>
                <w:szCs w:val="21"/>
              </w:rPr>
              <w:t>323</w:t>
            </w:r>
          </w:p>
        </w:tc>
        <w:tc>
          <w:tcPr>
            <w:tcW w:w="934" w:type="pct"/>
            <w:shd w:val="clear" w:color="auto" w:fill="E2EFD9" w:themeFill="accent6" w:themeFillTint="33"/>
          </w:tcPr>
          <w:p w14:paraId="3F0D34C6">
            <w:pPr>
              <w:widowControl/>
              <w:jc w:val="center"/>
              <w:rPr>
                <w:rFonts w:hint="eastAsia" w:ascii="Helvetica" w:hAnsi="Helvetica" w:eastAsia="宋体" w:cs="宋体"/>
                <w:kern w:val="0"/>
                <w:sz w:val="20"/>
                <w:szCs w:val="21"/>
              </w:rPr>
            </w:pPr>
            <w:r>
              <w:rPr>
                <w:rFonts w:ascii="Helvetica" w:hAnsi="Helvetica" w:eastAsia="宋体" w:cs="宋体"/>
                <w:kern w:val="0"/>
                <w:sz w:val="20"/>
                <w:szCs w:val="21"/>
              </w:rPr>
              <w:t>100%</w:t>
            </w:r>
          </w:p>
        </w:tc>
        <w:tc>
          <w:tcPr>
            <w:tcW w:w="1017" w:type="pct"/>
            <w:shd w:val="clear" w:color="auto" w:fill="E2EFD9" w:themeFill="accent6" w:themeFillTint="33"/>
            <w:noWrap/>
          </w:tcPr>
          <w:p w14:paraId="7ECE7E6B">
            <w:pPr>
              <w:widowControl/>
              <w:jc w:val="center"/>
              <w:rPr>
                <w:rFonts w:hint="default" w:ascii="Helvetica" w:hAnsi="Helvetica" w:eastAsia="宋体" w:cs="宋体"/>
                <w:kern w:val="0"/>
                <w:sz w:val="20"/>
                <w:szCs w:val="21"/>
                <w:lang w:val="en-US" w:eastAsia="zh-CN"/>
              </w:rPr>
            </w:pPr>
            <w:r>
              <w:rPr>
                <w:rFonts w:hint="eastAsia" w:ascii="Helvetica" w:hAnsi="Helvetica" w:eastAsia="宋体" w:cs="宋体"/>
                <w:kern w:val="0"/>
                <w:sz w:val="20"/>
                <w:szCs w:val="21"/>
                <w:lang w:val="en-US" w:eastAsia="zh-CN"/>
              </w:rPr>
              <w:t>319</w:t>
            </w:r>
          </w:p>
        </w:tc>
        <w:tc>
          <w:tcPr>
            <w:tcW w:w="1102" w:type="pct"/>
            <w:shd w:val="clear" w:color="auto" w:fill="E2EFD9" w:themeFill="accent6" w:themeFillTint="33"/>
            <w:noWrap/>
          </w:tcPr>
          <w:p w14:paraId="4D9D5E5C">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lang w:val="en-US" w:eastAsia="zh-CN"/>
              </w:rPr>
              <w:t>98.76</w:t>
            </w:r>
            <w:r>
              <w:rPr>
                <w:rFonts w:ascii="Helvetica" w:hAnsi="Helvetica" w:eastAsia="宋体" w:cs="宋体"/>
                <w:kern w:val="0"/>
                <w:sz w:val="20"/>
                <w:szCs w:val="21"/>
              </w:rPr>
              <w:t>%</w:t>
            </w:r>
          </w:p>
        </w:tc>
      </w:tr>
    </w:tbl>
    <w:p w14:paraId="6585ADF8">
      <w:pPr>
        <w:pStyle w:val="3"/>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毕业生生源地分布情况</w:t>
      </w:r>
    </w:p>
    <w:p w14:paraId="126DE10D">
      <w:pPr>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zh-CN"/>
        </w:rPr>
        <w:t>我院</w:t>
      </w:r>
      <w:r>
        <w:rPr>
          <w:rFonts w:hint="eastAsia" w:ascii="仿宋" w:hAnsi="仿宋" w:eastAsia="仿宋" w:cs="仿宋"/>
          <w:sz w:val="32"/>
          <w:szCs w:val="32"/>
        </w:rPr>
        <w:t>2024</w:t>
      </w:r>
      <w:r>
        <w:rPr>
          <w:rFonts w:hint="eastAsia" w:ascii="仿宋" w:hAnsi="仿宋" w:eastAsia="仿宋" w:cs="仿宋"/>
          <w:sz w:val="32"/>
          <w:szCs w:val="32"/>
          <w:lang w:val="zh-CN"/>
        </w:rPr>
        <w:t>届毕业生中</w:t>
      </w:r>
      <w:r>
        <w:rPr>
          <w:rFonts w:hint="eastAsia" w:ascii="仿宋" w:hAnsi="仿宋" w:eastAsia="仿宋" w:cs="仿宋"/>
          <w:sz w:val="32"/>
          <w:szCs w:val="32"/>
        </w:rPr>
        <w:t>内蒙古自治区</w:t>
      </w:r>
      <w:r>
        <w:rPr>
          <w:rFonts w:hint="eastAsia" w:ascii="仿宋" w:hAnsi="仿宋" w:eastAsia="仿宋" w:cs="仿宋"/>
          <w:sz w:val="32"/>
          <w:szCs w:val="32"/>
          <w:lang w:val="zh-CN"/>
        </w:rPr>
        <w:t>生源人数最多</w:t>
      </w:r>
      <w:r>
        <w:rPr>
          <w:rFonts w:hint="eastAsia" w:ascii="仿宋" w:hAnsi="仿宋" w:eastAsia="仿宋" w:cs="仿宋"/>
          <w:sz w:val="32"/>
          <w:szCs w:val="32"/>
        </w:rPr>
        <w:t>，</w:t>
      </w:r>
      <w:r>
        <w:rPr>
          <w:rFonts w:hint="eastAsia" w:ascii="仿宋" w:hAnsi="仿宋" w:eastAsia="仿宋" w:cs="仿宋"/>
          <w:sz w:val="32"/>
          <w:szCs w:val="32"/>
          <w:lang w:val="zh-CN"/>
        </w:rPr>
        <w:t>共有</w:t>
      </w:r>
      <w:r>
        <w:rPr>
          <w:rFonts w:hint="eastAsia" w:ascii="仿宋" w:hAnsi="仿宋" w:eastAsia="仿宋" w:cs="仿宋"/>
          <w:sz w:val="32"/>
          <w:szCs w:val="32"/>
        </w:rPr>
        <w:t>320</w:t>
      </w:r>
      <w:r>
        <w:rPr>
          <w:rFonts w:hint="eastAsia" w:ascii="仿宋" w:hAnsi="仿宋" w:eastAsia="仿宋" w:cs="仿宋"/>
          <w:sz w:val="32"/>
          <w:szCs w:val="32"/>
          <w:lang w:val="zh-CN"/>
        </w:rPr>
        <w:t>人</w:t>
      </w:r>
      <w:r>
        <w:rPr>
          <w:rFonts w:hint="eastAsia" w:ascii="仿宋" w:hAnsi="仿宋" w:eastAsia="仿宋" w:cs="仿宋"/>
          <w:sz w:val="32"/>
          <w:szCs w:val="32"/>
        </w:rPr>
        <w:t>，</w:t>
      </w:r>
      <w:r>
        <w:rPr>
          <w:rFonts w:hint="eastAsia" w:ascii="仿宋" w:hAnsi="仿宋" w:eastAsia="仿宋" w:cs="仿宋"/>
          <w:sz w:val="32"/>
          <w:szCs w:val="32"/>
          <w:lang w:val="zh-CN"/>
        </w:rPr>
        <w:t>占毕业生总数的</w:t>
      </w:r>
      <w:r>
        <w:rPr>
          <w:rFonts w:hint="eastAsia" w:ascii="仿宋" w:hAnsi="仿宋" w:eastAsia="仿宋" w:cs="仿宋"/>
          <w:sz w:val="32"/>
          <w:szCs w:val="32"/>
        </w:rPr>
        <w:t>99.07%</w:t>
      </w:r>
      <w:r>
        <w:rPr>
          <w:rFonts w:hint="eastAsia" w:ascii="仿宋" w:hAnsi="仿宋" w:eastAsia="仿宋" w:cs="仿宋"/>
          <w:sz w:val="32"/>
          <w:szCs w:val="32"/>
          <w:lang w:val="zh-CN"/>
        </w:rPr>
        <w:t>。</w:t>
      </w:r>
    </w:p>
    <w:tbl>
      <w:tblPr>
        <w:tblStyle w:val="27"/>
        <w:tblW w:w="4990" w:type="pct"/>
        <w:tblInd w:w="0" w:type="dxa"/>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Layout w:type="autofit"/>
        <w:tblCellMar>
          <w:top w:w="0" w:type="dxa"/>
          <w:left w:w="108" w:type="dxa"/>
          <w:bottom w:w="0" w:type="dxa"/>
          <w:right w:w="108" w:type="dxa"/>
        </w:tblCellMar>
      </w:tblPr>
      <w:tblGrid>
        <w:gridCol w:w="1236"/>
        <w:gridCol w:w="1210"/>
        <w:gridCol w:w="1213"/>
        <w:gridCol w:w="1210"/>
        <w:gridCol w:w="1210"/>
        <w:gridCol w:w="3"/>
        <w:gridCol w:w="1206"/>
        <w:gridCol w:w="1217"/>
      </w:tblGrid>
      <w:tr w14:paraId="3DB46D8E">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491" w:hRule="atLeast"/>
        </w:trPr>
        <w:tc>
          <w:tcPr>
            <w:tcW w:w="726" w:type="pct"/>
            <w:vMerge w:val="restart"/>
            <w:tcBorders>
              <w:top w:val="single" w:color="70AD47" w:themeColor="accent6" w:sz="4" w:space="0"/>
              <w:left w:val="single" w:color="70AD47" w:themeColor="accent6" w:sz="4" w:space="0"/>
              <w:bottom w:val="single" w:color="70AD47" w:themeColor="accent6" w:sz="4" w:space="0"/>
              <w:right w:val="nil"/>
              <w:insideH w:val="single" w:sz="4" w:space="0"/>
              <w:insideV w:val="nil"/>
            </w:tcBorders>
            <w:shd w:val="clear" w:color="auto" w:fill="70AD47" w:themeFill="accent6"/>
            <w:noWrap/>
            <w:vAlign w:val="center"/>
          </w:tcPr>
          <w:p w14:paraId="1C45A82C">
            <w:pPr>
              <w:widowControl/>
              <w:spacing w:line="22" w:lineRule="atLeast"/>
              <w:jc w:val="center"/>
              <w:rPr>
                <w:rFonts w:ascii="Calibri" w:hAnsi="Calibri" w:eastAsia="宋体" w:cs="Calibri"/>
                <w:b w:val="0"/>
                <w:bCs w:val="0"/>
                <w:color w:val="FFFFFF" w:themeColor="background1"/>
                <w:kern w:val="0"/>
                <w:sz w:val="20"/>
                <w14:textFill>
                  <w14:solidFill>
                    <w14:schemeClr w14:val="bg1"/>
                  </w14:solidFill>
                </w14:textFill>
              </w:rPr>
            </w:pPr>
            <w:r>
              <w:rPr>
                <w:rFonts w:hint="eastAsia" w:ascii="Calibri" w:hAnsi="Calibri" w:eastAsia="宋体" w:cs="Calibri"/>
                <w:b/>
                <w:bCs/>
                <w:color w:val="auto"/>
                <w:kern w:val="0"/>
                <w:sz w:val="20"/>
              </w:rPr>
              <w:t>生源地</w:t>
            </w:r>
          </w:p>
        </w:tc>
        <w:tc>
          <w:tcPr>
            <w:tcW w:w="1424" w:type="pct"/>
            <w:gridSpan w:val="2"/>
            <w:tcBorders>
              <w:top w:val="single" w:color="70AD47" w:themeColor="accent6" w:sz="4" w:space="0"/>
              <w:bottom w:val="single" w:color="70AD47" w:themeColor="accent6" w:sz="4" w:space="0"/>
              <w:right w:val="nil"/>
              <w:insideH w:val="single" w:sz="4" w:space="0"/>
              <w:insideV w:val="nil"/>
            </w:tcBorders>
            <w:shd w:val="clear" w:color="auto" w:fill="70AD47" w:themeFill="accent6"/>
            <w:noWrap/>
            <w:vAlign w:val="center"/>
          </w:tcPr>
          <w:p w14:paraId="2AE012D8">
            <w:pPr>
              <w:widowControl/>
              <w:spacing w:line="22" w:lineRule="atLeast"/>
              <w:jc w:val="center"/>
              <w:rPr>
                <w:rFonts w:ascii="Calibri" w:hAnsi="Calibri" w:eastAsia="宋体" w:cs="Calibri"/>
                <w:b w:val="0"/>
                <w:bCs w:val="0"/>
                <w:color w:val="FFFFFF" w:themeColor="background1"/>
                <w:kern w:val="0"/>
                <w:sz w:val="20"/>
                <w14:textFill>
                  <w14:solidFill>
                    <w14:schemeClr w14:val="bg1"/>
                  </w14:solidFill>
                </w14:textFill>
              </w:rPr>
            </w:pPr>
            <w:r>
              <w:rPr>
                <w:rFonts w:hint="eastAsia" w:ascii="Calibri" w:hAnsi="Calibri" w:eastAsia="宋体" w:cs="Calibri"/>
                <w:b/>
                <w:bCs/>
                <w:color w:val="auto"/>
                <w:kern w:val="0"/>
                <w:sz w:val="20"/>
              </w:rPr>
              <w:t>总人数</w:t>
            </w:r>
          </w:p>
        </w:tc>
        <w:tc>
          <w:tcPr>
            <w:tcW w:w="1424" w:type="pct"/>
            <w:gridSpan w:val="3"/>
            <w:tcBorders>
              <w:top w:val="single" w:color="70AD47" w:themeColor="accent6" w:sz="4" w:space="0"/>
              <w:bottom w:val="single" w:color="70AD47" w:themeColor="accent6" w:sz="4" w:space="0"/>
              <w:right w:val="nil"/>
              <w:insideH w:val="single" w:sz="4" w:space="0"/>
              <w:insideV w:val="nil"/>
            </w:tcBorders>
            <w:shd w:val="clear" w:color="auto" w:fill="70AD47" w:themeFill="accent6"/>
            <w:vAlign w:val="center"/>
          </w:tcPr>
          <w:p w14:paraId="168D5D3A">
            <w:pPr>
              <w:widowControl/>
              <w:spacing w:line="22" w:lineRule="atLeast"/>
              <w:jc w:val="center"/>
              <w:rPr>
                <w:rFonts w:ascii="Calibri" w:hAnsi="Calibri" w:eastAsia="宋体" w:cs="Calibri"/>
                <w:b w:val="0"/>
                <w:bCs w:val="0"/>
                <w:color w:val="FFFFFF" w:themeColor="background1"/>
                <w:kern w:val="0"/>
                <w:sz w:val="20"/>
                <w14:textFill>
                  <w14:solidFill>
                    <w14:schemeClr w14:val="bg1"/>
                  </w14:solidFill>
                </w14:textFill>
              </w:rPr>
            </w:pPr>
            <w:r>
              <w:rPr>
                <w:rFonts w:ascii="Calibri" w:hAnsi="Calibri" w:eastAsia="宋体" w:cs="Calibri"/>
                <w:b/>
                <w:bCs/>
                <w:color w:val="auto"/>
                <w:kern w:val="0"/>
                <w:sz w:val="20"/>
              </w:rPr>
              <w:t>本科生</w:t>
            </w:r>
          </w:p>
        </w:tc>
        <w:tc>
          <w:tcPr>
            <w:tcW w:w="1424" w:type="pct"/>
            <w:gridSpan w:val="2"/>
            <w:tcBorders>
              <w:top w:val="single" w:color="70AD47" w:themeColor="accent6" w:sz="4" w:space="0"/>
              <w:bottom w:val="single" w:color="70AD47" w:themeColor="accent6" w:sz="4" w:space="0"/>
              <w:right w:val="single" w:color="70AD47" w:themeColor="accent6" w:sz="4" w:space="0"/>
              <w:insideH w:val="single" w:sz="4" w:space="0"/>
              <w:insideV w:val="nil"/>
            </w:tcBorders>
            <w:shd w:val="clear" w:color="auto" w:fill="70AD47" w:themeFill="accent6"/>
            <w:vAlign w:val="center"/>
          </w:tcPr>
          <w:p w14:paraId="3BEB57B8">
            <w:pPr>
              <w:widowControl/>
              <w:spacing w:line="22" w:lineRule="atLeast"/>
              <w:jc w:val="center"/>
              <w:rPr>
                <w:rFonts w:ascii="Calibri" w:hAnsi="Calibri" w:eastAsia="宋体" w:cs="Calibri"/>
                <w:b w:val="0"/>
                <w:bCs w:val="0"/>
                <w:color w:val="FFFFFF" w:themeColor="background1"/>
                <w:kern w:val="0"/>
                <w:sz w:val="20"/>
                <w14:textFill>
                  <w14:solidFill>
                    <w14:schemeClr w14:val="bg1"/>
                  </w14:solidFill>
                </w14:textFill>
              </w:rPr>
            </w:pPr>
            <w:r>
              <w:rPr>
                <w:rFonts w:ascii="Calibri" w:hAnsi="Calibri" w:eastAsia="宋体" w:cs="Calibri"/>
                <w:b/>
                <w:bCs/>
                <w:color w:val="auto"/>
                <w:kern w:val="0"/>
                <w:sz w:val="20"/>
              </w:rPr>
              <w:t>专科生</w:t>
            </w:r>
          </w:p>
        </w:tc>
      </w:tr>
      <w:tr w14:paraId="49ED126D">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491" w:hRule="atLeast"/>
        </w:trPr>
        <w:tc>
          <w:tcPr>
            <w:tcW w:w="726" w:type="pct"/>
            <w:vMerge w:val="continue"/>
            <w:shd w:val="clear" w:color="auto" w:fill="E2EFD9" w:themeFill="accent6" w:themeFillTint="33"/>
            <w:noWrap/>
            <w:vAlign w:val="center"/>
          </w:tcPr>
          <w:p w14:paraId="54D35FF1">
            <w:pPr>
              <w:widowControl/>
              <w:spacing w:line="22" w:lineRule="atLeast"/>
              <w:jc w:val="center"/>
              <w:rPr>
                <w:rFonts w:ascii="Calibri" w:hAnsi="Calibri" w:eastAsia="宋体" w:cs="Calibri"/>
                <w:b w:val="0"/>
                <w:bCs w:val="0"/>
                <w:kern w:val="0"/>
                <w:sz w:val="20"/>
              </w:rPr>
            </w:pPr>
          </w:p>
        </w:tc>
        <w:tc>
          <w:tcPr>
            <w:tcW w:w="711" w:type="pct"/>
            <w:shd w:val="clear" w:color="auto" w:fill="E2EFD9" w:themeFill="accent6" w:themeFillTint="33"/>
            <w:noWrap/>
            <w:vAlign w:val="center"/>
          </w:tcPr>
          <w:p w14:paraId="51AC52BE">
            <w:pPr>
              <w:widowControl/>
              <w:spacing w:line="22" w:lineRule="atLeast"/>
              <w:jc w:val="center"/>
              <w:rPr>
                <w:rFonts w:ascii="Calibri" w:hAnsi="Calibri" w:eastAsia="宋体" w:cs="Calibri"/>
                <w:kern w:val="0"/>
                <w:sz w:val="20"/>
              </w:rPr>
            </w:pPr>
            <w:r>
              <w:rPr>
                <w:rFonts w:hint="eastAsia" w:ascii="Calibri" w:hAnsi="Calibri" w:eastAsia="宋体" w:cs="Calibri"/>
                <w:kern w:val="0"/>
                <w:sz w:val="20"/>
              </w:rPr>
              <w:t>总数</w:t>
            </w:r>
          </w:p>
        </w:tc>
        <w:tc>
          <w:tcPr>
            <w:tcW w:w="711" w:type="pct"/>
            <w:shd w:val="clear" w:color="auto" w:fill="E2EFD9" w:themeFill="accent6" w:themeFillTint="33"/>
            <w:vAlign w:val="center"/>
          </w:tcPr>
          <w:p w14:paraId="38B4234E">
            <w:pPr>
              <w:widowControl/>
              <w:spacing w:line="22" w:lineRule="atLeast"/>
              <w:jc w:val="center"/>
              <w:rPr>
                <w:rFonts w:ascii="Calibri" w:hAnsi="Calibri" w:eastAsia="宋体" w:cs="Calibri"/>
                <w:kern w:val="0"/>
                <w:sz w:val="20"/>
              </w:rPr>
            </w:pPr>
            <w:r>
              <w:rPr>
                <w:rFonts w:ascii="Calibri" w:hAnsi="Calibri" w:eastAsia="宋体" w:cs="Calibri"/>
                <w:kern w:val="0"/>
                <w:sz w:val="20"/>
              </w:rPr>
              <w:t>占比</w:t>
            </w:r>
          </w:p>
        </w:tc>
        <w:tc>
          <w:tcPr>
            <w:tcW w:w="711" w:type="pct"/>
            <w:shd w:val="clear" w:color="auto" w:fill="E2EFD9" w:themeFill="accent6" w:themeFillTint="33"/>
            <w:vAlign w:val="center"/>
          </w:tcPr>
          <w:p w14:paraId="076FABAB">
            <w:pPr>
              <w:widowControl/>
              <w:spacing w:line="22" w:lineRule="atLeast"/>
              <w:jc w:val="center"/>
              <w:rPr>
                <w:rFonts w:ascii="Calibri" w:hAnsi="Calibri" w:eastAsia="宋体" w:cs="Calibri"/>
                <w:kern w:val="0"/>
                <w:sz w:val="20"/>
              </w:rPr>
            </w:pPr>
            <w:r>
              <w:rPr>
                <w:rFonts w:hint="eastAsia" w:ascii="Calibri" w:hAnsi="Calibri" w:eastAsia="宋体" w:cs="Calibri"/>
                <w:kern w:val="0"/>
                <w:sz w:val="20"/>
              </w:rPr>
              <w:t>总数</w:t>
            </w:r>
          </w:p>
        </w:tc>
        <w:tc>
          <w:tcPr>
            <w:tcW w:w="711" w:type="pct"/>
            <w:shd w:val="clear" w:color="auto" w:fill="E2EFD9" w:themeFill="accent6" w:themeFillTint="33"/>
            <w:vAlign w:val="center"/>
          </w:tcPr>
          <w:p w14:paraId="74A231C3">
            <w:pPr>
              <w:widowControl/>
              <w:spacing w:line="22" w:lineRule="atLeast"/>
              <w:jc w:val="center"/>
              <w:rPr>
                <w:rFonts w:ascii="Calibri" w:hAnsi="Calibri" w:eastAsia="宋体" w:cs="Calibri"/>
                <w:kern w:val="0"/>
                <w:sz w:val="20"/>
              </w:rPr>
            </w:pPr>
            <w:r>
              <w:rPr>
                <w:rFonts w:ascii="Calibri" w:hAnsi="Calibri" w:eastAsia="宋体" w:cs="Calibri"/>
                <w:kern w:val="0"/>
                <w:sz w:val="20"/>
              </w:rPr>
              <w:t>占比</w:t>
            </w:r>
          </w:p>
        </w:tc>
        <w:tc>
          <w:tcPr>
            <w:tcW w:w="711" w:type="pct"/>
            <w:gridSpan w:val="2"/>
            <w:shd w:val="clear" w:color="auto" w:fill="E2EFD9" w:themeFill="accent6" w:themeFillTint="33"/>
            <w:vAlign w:val="center"/>
          </w:tcPr>
          <w:p w14:paraId="66B8F18C">
            <w:pPr>
              <w:widowControl/>
              <w:spacing w:line="22" w:lineRule="atLeast"/>
              <w:jc w:val="center"/>
              <w:rPr>
                <w:rFonts w:ascii="Calibri" w:hAnsi="Calibri" w:eastAsia="宋体" w:cs="Calibri"/>
                <w:kern w:val="0"/>
                <w:sz w:val="20"/>
              </w:rPr>
            </w:pPr>
            <w:r>
              <w:rPr>
                <w:rFonts w:hint="eastAsia" w:ascii="Calibri" w:hAnsi="Calibri" w:eastAsia="宋体" w:cs="Calibri"/>
                <w:kern w:val="0"/>
                <w:sz w:val="20"/>
              </w:rPr>
              <w:t>总数</w:t>
            </w:r>
          </w:p>
        </w:tc>
        <w:tc>
          <w:tcPr>
            <w:tcW w:w="713" w:type="pct"/>
            <w:shd w:val="clear" w:color="auto" w:fill="E2EFD9" w:themeFill="accent6" w:themeFillTint="33"/>
            <w:vAlign w:val="center"/>
          </w:tcPr>
          <w:p w14:paraId="18C1BB61">
            <w:pPr>
              <w:widowControl/>
              <w:spacing w:line="22" w:lineRule="atLeast"/>
              <w:jc w:val="center"/>
              <w:rPr>
                <w:rFonts w:ascii="Calibri" w:hAnsi="Calibri" w:eastAsia="宋体" w:cs="Calibri"/>
                <w:kern w:val="0"/>
                <w:sz w:val="20"/>
              </w:rPr>
            </w:pPr>
            <w:r>
              <w:rPr>
                <w:rFonts w:ascii="Calibri" w:hAnsi="Calibri" w:eastAsia="宋体" w:cs="Calibri"/>
                <w:kern w:val="0"/>
                <w:sz w:val="20"/>
              </w:rPr>
              <w:t>占比</w:t>
            </w:r>
          </w:p>
        </w:tc>
      </w:tr>
      <w:tr w14:paraId="39268462">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414" w:hRule="atLeast"/>
        </w:trPr>
        <w:tc>
          <w:tcPr>
            <w:tcW w:w="726" w:type="pct"/>
            <w:noWrap/>
            <w:vAlign w:val="center"/>
          </w:tcPr>
          <w:p w14:paraId="2B39E360">
            <w:pPr>
              <w:widowControl/>
              <w:spacing w:line="240" w:lineRule="auto"/>
              <w:jc w:val="center"/>
              <w:rPr>
                <w:rFonts w:ascii="Verdana" w:hAnsi="Verdana"/>
                <w:b w:val="0"/>
                <w:bCs w:val="0"/>
                <w:sz w:val="17"/>
                <w:szCs w:val="17"/>
              </w:rPr>
            </w:pPr>
            <w:r>
              <w:rPr>
                <w:rFonts w:hint="eastAsia" w:ascii="Verdana" w:hAnsi="Verdana"/>
                <w:b w:val="0"/>
                <w:bCs w:val="0"/>
                <w:sz w:val="17"/>
                <w:szCs w:val="17"/>
              </w:rPr>
              <w:t>内蒙古自治区</w:t>
            </w:r>
          </w:p>
        </w:tc>
        <w:tc>
          <w:tcPr>
            <w:tcW w:w="711" w:type="pct"/>
            <w:noWrap/>
            <w:vAlign w:val="center"/>
          </w:tcPr>
          <w:p w14:paraId="4CE0CAF4">
            <w:pPr>
              <w:jc w:val="center"/>
              <w:rPr>
                <w:rFonts w:ascii="Verdana" w:hAnsi="Verdana"/>
                <w:sz w:val="17"/>
                <w:szCs w:val="17"/>
              </w:rPr>
            </w:pPr>
            <w:r>
              <w:rPr>
                <w:rFonts w:hint="eastAsia" w:ascii="Verdana" w:hAnsi="Verdana"/>
                <w:sz w:val="17"/>
                <w:szCs w:val="17"/>
              </w:rPr>
              <w:t>320</w:t>
            </w:r>
          </w:p>
        </w:tc>
        <w:tc>
          <w:tcPr>
            <w:tcW w:w="711" w:type="pct"/>
            <w:vAlign w:val="center"/>
          </w:tcPr>
          <w:p w14:paraId="38F695F1">
            <w:pPr>
              <w:jc w:val="center"/>
              <w:rPr>
                <w:rFonts w:ascii="Verdana" w:hAnsi="Verdana"/>
                <w:sz w:val="17"/>
                <w:szCs w:val="17"/>
              </w:rPr>
            </w:pPr>
            <w:r>
              <w:rPr>
                <w:rFonts w:hint="eastAsia" w:ascii="Verdana" w:hAnsi="Verdana"/>
                <w:sz w:val="17"/>
                <w:szCs w:val="17"/>
              </w:rPr>
              <w:t>99.07%</w:t>
            </w:r>
          </w:p>
        </w:tc>
        <w:tc>
          <w:tcPr>
            <w:tcW w:w="711" w:type="pct"/>
            <w:vAlign w:val="center"/>
          </w:tcPr>
          <w:p w14:paraId="241CEBE8">
            <w:pPr>
              <w:jc w:val="center"/>
              <w:rPr>
                <w:rFonts w:ascii="Verdana" w:hAnsi="Verdana"/>
                <w:sz w:val="17"/>
                <w:szCs w:val="17"/>
              </w:rPr>
            </w:pPr>
            <w:r>
              <w:rPr>
                <w:rFonts w:hint="eastAsia" w:ascii="Verdana" w:hAnsi="Verdana"/>
                <w:sz w:val="17"/>
                <w:szCs w:val="17"/>
              </w:rPr>
              <w:t>0</w:t>
            </w:r>
          </w:p>
        </w:tc>
        <w:tc>
          <w:tcPr>
            <w:tcW w:w="711" w:type="pct"/>
            <w:vAlign w:val="center"/>
          </w:tcPr>
          <w:p w14:paraId="75F6789B">
            <w:pPr>
              <w:jc w:val="center"/>
              <w:rPr>
                <w:rFonts w:ascii="Verdana" w:hAnsi="Verdana"/>
                <w:sz w:val="17"/>
                <w:szCs w:val="17"/>
              </w:rPr>
            </w:pPr>
            <w:r>
              <w:rPr>
                <w:rFonts w:hint="eastAsia" w:ascii="Verdana" w:hAnsi="Verdana"/>
                <w:sz w:val="17"/>
                <w:szCs w:val="17"/>
              </w:rPr>
              <w:t>0%</w:t>
            </w:r>
          </w:p>
        </w:tc>
        <w:tc>
          <w:tcPr>
            <w:tcW w:w="711" w:type="pct"/>
            <w:gridSpan w:val="2"/>
            <w:vAlign w:val="center"/>
          </w:tcPr>
          <w:p w14:paraId="0D361DA5">
            <w:pPr>
              <w:jc w:val="center"/>
              <w:rPr>
                <w:rFonts w:ascii="Verdana" w:hAnsi="Verdana"/>
                <w:sz w:val="17"/>
                <w:szCs w:val="17"/>
              </w:rPr>
            </w:pPr>
            <w:r>
              <w:rPr>
                <w:rFonts w:hint="eastAsia" w:ascii="Verdana" w:hAnsi="Verdana"/>
                <w:sz w:val="17"/>
                <w:szCs w:val="17"/>
              </w:rPr>
              <w:t>320</w:t>
            </w:r>
          </w:p>
        </w:tc>
        <w:tc>
          <w:tcPr>
            <w:tcW w:w="713" w:type="pct"/>
            <w:vAlign w:val="center"/>
          </w:tcPr>
          <w:p w14:paraId="61C07DB7">
            <w:pPr>
              <w:jc w:val="center"/>
              <w:rPr>
                <w:rFonts w:ascii="Verdana" w:hAnsi="Verdana"/>
                <w:sz w:val="17"/>
                <w:szCs w:val="17"/>
              </w:rPr>
            </w:pPr>
            <w:r>
              <w:rPr>
                <w:rFonts w:hint="eastAsia" w:ascii="Verdana" w:hAnsi="Verdana"/>
                <w:sz w:val="17"/>
                <w:szCs w:val="17"/>
              </w:rPr>
              <w:t>99.07%</w:t>
            </w:r>
          </w:p>
        </w:tc>
      </w:tr>
      <w:tr w14:paraId="7E2CFC18">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414" w:hRule="atLeast"/>
        </w:trPr>
        <w:tc>
          <w:tcPr>
            <w:tcW w:w="726" w:type="pct"/>
            <w:noWrap/>
            <w:vAlign w:val="center"/>
          </w:tcPr>
          <w:p w14:paraId="526173D6">
            <w:pPr>
              <w:widowControl/>
              <w:spacing w:line="240" w:lineRule="auto"/>
              <w:jc w:val="center"/>
              <w:rPr>
                <w:rFonts w:ascii="Verdana" w:hAnsi="Verdana"/>
                <w:b w:val="0"/>
                <w:bCs w:val="0"/>
                <w:sz w:val="17"/>
                <w:szCs w:val="17"/>
              </w:rPr>
            </w:pPr>
            <w:r>
              <w:rPr>
                <w:rFonts w:hint="eastAsia" w:ascii="Verdana" w:hAnsi="Verdana"/>
                <w:b w:val="0"/>
                <w:bCs w:val="0"/>
                <w:sz w:val="17"/>
                <w:szCs w:val="17"/>
              </w:rPr>
              <w:t>河北省</w:t>
            </w:r>
          </w:p>
        </w:tc>
        <w:tc>
          <w:tcPr>
            <w:tcW w:w="711" w:type="pct"/>
            <w:noWrap/>
            <w:vAlign w:val="center"/>
          </w:tcPr>
          <w:p w14:paraId="665FB4BA">
            <w:pPr>
              <w:jc w:val="center"/>
              <w:rPr>
                <w:rFonts w:ascii="Verdana" w:hAnsi="Verdana"/>
                <w:sz w:val="17"/>
                <w:szCs w:val="17"/>
              </w:rPr>
            </w:pPr>
            <w:r>
              <w:rPr>
                <w:rFonts w:hint="eastAsia" w:ascii="Verdana" w:hAnsi="Verdana"/>
                <w:sz w:val="17"/>
                <w:szCs w:val="17"/>
              </w:rPr>
              <w:t>2</w:t>
            </w:r>
          </w:p>
        </w:tc>
        <w:tc>
          <w:tcPr>
            <w:tcW w:w="711" w:type="pct"/>
            <w:vAlign w:val="center"/>
          </w:tcPr>
          <w:p w14:paraId="6F7DBFC4">
            <w:pPr>
              <w:jc w:val="center"/>
              <w:rPr>
                <w:rFonts w:ascii="Verdana" w:hAnsi="Verdana"/>
                <w:sz w:val="17"/>
                <w:szCs w:val="17"/>
              </w:rPr>
            </w:pPr>
            <w:r>
              <w:rPr>
                <w:rFonts w:hint="eastAsia" w:ascii="Verdana" w:hAnsi="Verdana"/>
                <w:sz w:val="17"/>
                <w:szCs w:val="17"/>
              </w:rPr>
              <w:t>0.62%</w:t>
            </w:r>
          </w:p>
        </w:tc>
        <w:tc>
          <w:tcPr>
            <w:tcW w:w="711" w:type="pct"/>
            <w:vAlign w:val="center"/>
          </w:tcPr>
          <w:p w14:paraId="08CE43AE">
            <w:pPr>
              <w:jc w:val="center"/>
              <w:rPr>
                <w:rFonts w:ascii="Verdana" w:hAnsi="Verdana"/>
                <w:sz w:val="17"/>
                <w:szCs w:val="17"/>
              </w:rPr>
            </w:pPr>
            <w:r>
              <w:rPr>
                <w:rFonts w:hint="eastAsia" w:ascii="Verdana" w:hAnsi="Verdana"/>
                <w:sz w:val="17"/>
                <w:szCs w:val="17"/>
              </w:rPr>
              <w:t>0</w:t>
            </w:r>
          </w:p>
        </w:tc>
        <w:tc>
          <w:tcPr>
            <w:tcW w:w="711" w:type="pct"/>
            <w:vAlign w:val="center"/>
          </w:tcPr>
          <w:p w14:paraId="3604BA51">
            <w:pPr>
              <w:jc w:val="center"/>
              <w:rPr>
                <w:rFonts w:ascii="Verdana" w:hAnsi="Verdana"/>
                <w:sz w:val="17"/>
                <w:szCs w:val="17"/>
              </w:rPr>
            </w:pPr>
            <w:r>
              <w:rPr>
                <w:rFonts w:hint="eastAsia" w:ascii="Verdana" w:hAnsi="Verdana"/>
                <w:sz w:val="17"/>
                <w:szCs w:val="17"/>
              </w:rPr>
              <w:t>0%</w:t>
            </w:r>
          </w:p>
        </w:tc>
        <w:tc>
          <w:tcPr>
            <w:tcW w:w="711" w:type="pct"/>
            <w:gridSpan w:val="2"/>
            <w:vAlign w:val="center"/>
          </w:tcPr>
          <w:p w14:paraId="7D1FB22B">
            <w:pPr>
              <w:jc w:val="center"/>
              <w:rPr>
                <w:rFonts w:ascii="Verdana" w:hAnsi="Verdana"/>
                <w:sz w:val="17"/>
                <w:szCs w:val="17"/>
              </w:rPr>
            </w:pPr>
            <w:r>
              <w:rPr>
                <w:rFonts w:hint="eastAsia" w:ascii="Verdana" w:hAnsi="Verdana"/>
                <w:sz w:val="17"/>
                <w:szCs w:val="17"/>
              </w:rPr>
              <w:t>2</w:t>
            </w:r>
          </w:p>
        </w:tc>
        <w:tc>
          <w:tcPr>
            <w:tcW w:w="713" w:type="pct"/>
            <w:vAlign w:val="center"/>
          </w:tcPr>
          <w:p w14:paraId="01B94385">
            <w:pPr>
              <w:jc w:val="center"/>
              <w:rPr>
                <w:rFonts w:ascii="Verdana" w:hAnsi="Verdana"/>
                <w:sz w:val="17"/>
                <w:szCs w:val="17"/>
              </w:rPr>
            </w:pPr>
            <w:r>
              <w:rPr>
                <w:rFonts w:hint="eastAsia" w:ascii="Verdana" w:hAnsi="Verdana"/>
                <w:sz w:val="17"/>
                <w:szCs w:val="17"/>
              </w:rPr>
              <w:t>0.62%</w:t>
            </w:r>
          </w:p>
        </w:tc>
      </w:tr>
      <w:tr w14:paraId="6C690547">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414" w:hRule="atLeast"/>
        </w:trPr>
        <w:tc>
          <w:tcPr>
            <w:tcW w:w="726" w:type="pct"/>
            <w:noWrap/>
            <w:vAlign w:val="center"/>
          </w:tcPr>
          <w:p w14:paraId="022A7313">
            <w:pPr>
              <w:widowControl/>
              <w:spacing w:line="240" w:lineRule="auto"/>
              <w:jc w:val="center"/>
              <w:rPr>
                <w:rFonts w:ascii="Verdana" w:hAnsi="Verdana"/>
                <w:b w:val="0"/>
                <w:bCs w:val="0"/>
                <w:sz w:val="17"/>
                <w:szCs w:val="17"/>
              </w:rPr>
            </w:pPr>
            <w:r>
              <w:rPr>
                <w:rFonts w:hint="eastAsia" w:ascii="Verdana" w:hAnsi="Verdana"/>
                <w:b w:val="0"/>
                <w:bCs w:val="0"/>
                <w:sz w:val="17"/>
                <w:szCs w:val="17"/>
              </w:rPr>
              <w:t>山东省</w:t>
            </w:r>
          </w:p>
        </w:tc>
        <w:tc>
          <w:tcPr>
            <w:tcW w:w="711" w:type="pct"/>
            <w:noWrap/>
            <w:vAlign w:val="center"/>
          </w:tcPr>
          <w:p w14:paraId="015A105A">
            <w:pPr>
              <w:jc w:val="center"/>
              <w:rPr>
                <w:rFonts w:ascii="Verdana" w:hAnsi="Verdana"/>
                <w:sz w:val="17"/>
                <w:szCs w:val="17"/>
              </w:rPr>
            </w:pPr>
            <w:r>
              <w:rPr>
                <w:rFonts w:hint="eastAsia" w:ascii="Verdana" w:hAnsi="Verdana"/>
                <w:sz w:val="17"/>
                <w:szCs w:val="17"/>
              </w:rPr>
              <w:t>1</w:t>
            </w:r>
          </w:p>
        </w:tc>
        <w:tc>
          <w:tcPr>
            <w:tcW w:w="711" w:type="pct"/>
            <w:vAlign w:val="center"/>
          </w:tcPr>
          <w:p w14:paraId="6A56C765">
            <w:pPr>
              <w:jc w:val="center"/>
              <w:rPr>
                <w:rFonts w:ascii="Verdana" w:hAnsi="Verdana"/>
                <w:sz w:val="17"/>
                <w:szCs w:val="17"/>
              </w:rPr>
            </w:pPr>
            <w:r>
              <w:rPr>
                <w:rFonts w:hint="eastAsia" w:ascii="Verdana" w:hAnsi="Verdana"/>
                <w:sz w:val="17"/>
                <w:szCs w:val="17"/>
              </w:rPr>
              <w:t>0.31%</w:t>
            </w:r>
          </w:p>
        </w:tc>
        <w:tc>
          <w:tcPr>
            <w:tcW w:w="711" w:type="pct"/>
            <w:vAlign w:val="center"/>
          </w:tcPr>
          <w:p w14:paraId="6DD64B8D">
            <w:pPr>
              <w:jc w:val="center"/>
              <w:rPr>
                <w:rFonts w:ascii="Verdana" w:hAnsi="Verdana"/>
                <w:sz w:val="17"/>
                <w:szCs w:val="17"/>
              </w:rPr>
            </w:pPr>
            <w:r>
              <w:rPr>
                <w:rFonts w:hint="eastAsia" w:ascii="Verdana" w:hAnsi="Verdana"/>
                <w:sz w:val="17"/>
                <w:szCs w:val="17"/>
              </w:rPr>
              <w:t>0</w:t>
            </w:r>
          </w:p>
        </w:tc>
        <w:tc>
          <w:tcPr>
            <w:tcW w:w="711" w:type="pct"/>
            <w:vAlign w:val="center"/>
          </w:tcPr>
          <w:p w14:paraId="1408EEE5">
            <w:pPr>
              <w:jc w:val="center"/>
              <w:rPr>
                <w:rFonts w:ascii="Verdana" w:hAnsi="Verdana"/>
                <w:sz w:val="17"/>
                <w:szCs w:val="17"/>
              </w:rPr>
            </w:pPr>
            <w:r>
              <w:rPr>
                <w:rFonts w:hint="eastAsia" w:ascii="Verdana" w:hAnsi="Verdana"/>
                <w:sz w:val="17"/>
                <w:szCs w:val="17"/>
              </w:rPr>
              <w:t>0%</w:t>
            </w:r>
          </w:p>
        </w:tc>
        <w:tc>
          <w:tcPr>
            <w:tcW w:w="711" w:type="pct"/>
            <w:gridSpan w:val="2"/>
            <w:vAlign w:val="center"/>
          </w:tcPr>
          <w:p w14:paraId="272F3A75">
            <w:pPr>
              <w:jc w:val="center"/>
              <w:rPr>
                <w:rFonts w:ascii="Verdana" w:hAnsi="Verdana"/>
                <w:sz w:val="17"/>
                <w:szCs w:val="17"/>
              </w:rPr>
            </w:pPr>
            <w:r>
              <w:rPr>
                <w:rFonts w:hint="eastAsia" w:ascii="Verdana" w:hAnsi="Verdana"/>
                <w:sz w:val="17"/>
                <w:szCs w:val="17"/>
              </w:rPr>
              <w:t>1</w:t>
            </w:r>
          </w:p>
        </w:tc>
        <w:tc>
          <w:tcPr>
            <w:tcW w:w="713" w:type="pct"/>
            <w:vAlign w:val="center"/>
          </w:tcPr>
          <w:p w14:paraId="5E5B7527">
            <w:pPr>
              <w:jc w:val="center"/>
              <w:rPr>
                <w:rFonts w:ascii="Verdana" w:hAnsi="Verdana"/>
                <w:sz w:val="17"/>
                <w:szCs w:val="17"/>
              </w:rPr>
            </w:pPr>
            <w:r>
              <w:rPr>
                <w:rFonts w:hint="eastAsia" w:ascii="Verdana" w:hAnsi="Verdana"/>
                <w:sz w:val="17"/>
                <w:szCs w:val="17"/>
              </w:rPr>
              <w:t>0.31%</w:t>
            </w:r>
          </w:p>
        </w:tc>
      </w:tr>
      <w:tr w14:paraId="6E621404">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414" w:hRule="atLeast"/>
        </w:trPr>
        <w:tc>
          <w:tcPr>
            <w:tcW w:w="726" w:type="pct"/>
            <w:noWrap/>
            <w:vAlign w:val="center"/>
          </w:tcPr>
          <w:p w14:paraId="4C7A752C">
            <w:pPr>
              <w:widowControl/>
              <w:spacing w:line="240" w:lineRule="auto"/>
              <w:jc w:val="center"/>
              <w:rPr>
                <w:rFonts w:ascii="Verdana" w:hAnsi="Verdana"/>
                <w:b w:val="0"/>
                <w:bCs w:val="0"/>
                <w:sz w:val="17"/>
                <w:szCs w:val="17"/>
              </w:rPr>
            </w:pPr>
            <w:r>
              <w:rPr>
                <w:rFonts w:hint="eastAsia" w:ascii="Verdana" w:hAnsi="Verdana"/>
                <w:b w:val="0"/>
                <w:bCs w:val="0"/>
                <w:sz w:val="17"/>
                <w:szCs w:val="17"/>
              </w:rPr>
              <w:t>合计</w:t>
            </w:r>
          </w:p>
        </w:tc>
        <w:tc>
          <w:tcPr>
            <w:tcW w:w="711" w:type="pct"/>
            <w:noWrap/>
            <w:vAlign w:val="center"/>
          </w:tcPr>
          <w:p w14:paraId="68A625BD">
            <w:pPr>
              <w:jc w:val="center"/>
              <w:rPr>
                <w:rFonts w:ascii="Verdana" w:hAnsi="Verdana"/>
                <w:sz w:val="17"/>
                <w:szCs w:val="17"/>
              </w:rPr>
            </w:pPr>
            <w:r>
              <w:rPr>
                <w:rFonts w:hint="eastAsia" w:ascii="Verdana" w:hAnsi="Verdana"/>
                <w:sz w:val="17"/>
                <w:szCs w:val="17"/>
              </w:rPr>
              <w:t>323</w:t>
            </w:r>
          </w:p>
        </w:tc>
        <w:tc>
          <w:tcPr>
            <w:tcW w:w="711" w:type="pct"/>
            <w:vAlign w:val="center"/>
          </w:tcPr>
          <w:p w14:paraId="4FCF6811">
            <w:pPr>
              <w:jc w:val="center"/>
              <w:rPr>
                <w:rFonts w:ascii="Verdana" w:hAnsi="Verdana"/>
                <w:sz w:val="17"/>
                <w:szCs w:val="17"/>
              </w:rPr>
            </w:pPr>
            <w:r>
              <w:rPr>
                <w:rFonts w:hint="eastAsia" w:ascii="Verdana" w:hAnsi="Verdana"/>
                <w:sz w:val="17"/>
                <w:szCs w:val="17"/>
              </w:rPr>
              <w:t>100%</w:t>
            </w:r>
          </w:p>
        </w:tc>
        <w:tc>
          <w:tcPr>
            <w:tcW w:w="711" w:type="pct"/>
            <w:vAlign w:val="center"/>
          </w:tcPr>
          <w:p w14:paraId="484B9669">
            <w:pPr>
              <w:jc w:val="center"/>
              <w:rPr>
                <w:rFonts w:ascii="Verdana" w:hAnsi="Verdana"/>
                <w:sz w:val="17"/>
                <w:szCs w:val="17"/>
              </w:rPr>
            </w:pPr>
            <w:r>
              <w:rPr>
                <w:rFonts w:hint="eastAsia" w:ascii="Verdana" w:hAnsi="Verdana"/>
                <w:sz w:val="17"/>
                <w:szCs w:val="17"/>
              </w:rPr>
              <w:t>0</w:t>
            </w:r>
          </w:p>
        </w:tc>
        <w:tc>
          <w:tcPr>
            <w:tcW w:w="711" w:type="pct"/>
            <w:vAlign w:val="center"/>
          </w:tcPr>
          <w:p w14:paraId="0E051469">
            <w:pPr>
              <w:jc w:val="center"/>
              <w:rPr>
                <w:rFonts w:ascii="Verdana" w:hAnsi="Verdana"/>
                <w:sz w:val="17"/>
                <w:szCs w:val="17"/>
              </w:rPr>
            </w:pPr>
            <w:r>
              <w:rPr>
                <w:rFonts w:hint="eastAsia" w:ascii="Verdana" w:hAnsi="Verdana"/>
                <w:sz w:val="17"/>
                <w:szCs w:val="17"/>
              </w:rPr>
              <w:t>0%</w:t>
            </w:r>
          </w:p>
        </w:tc>
        <w:tc>
          <w:tcPr>
            <w:tcW w:w="711" w:type="pct"/>
            <w:gridSpan w:val="2"/>
            <w:vAlign w:val="center"/>
          </w:tcPr>
          <w:p w14:paraId="2F6C8C01">
            <w:pPr>
              <w:jc w:val="center"/>
              <w:rPr>
                <w:rFonts w:ascii="Verdana" w:hAnsi="Verdana"/>
                <w:sz w:val="17"/>
                <w:szCs w:val="17"/>
              </w:rPr>
            </w:pPr>
            <w:r>
              <w:rPr>
                <w:rFonts w:hint="eastAsia" w:ascii="Verdana" w:hAnsi="Verdana"/>
                <w:sz w:val="17"/>
                <w:szCs w:val="17"/>
              </w:rPr>
              <w:t>323</w:t>
            </w:r>
          </w:p>
        </w:tc>
        <w:tc>
          <w:tcPr>
            <w:tcW w:w="713" w:type="pct"/>
            <w:vAlign w:val="center"/>
          </w:tcPr>
          <w:p w14:paraId="6A950205">
            <w:pPr>
              <w:jc w:val="center"/>
              <w:rPr>
                <w:rFonts w:ascii="Verdana" w:hAnsi="Verdana"/>
                <w:sz w:val="17"/>
                <w:szCs w:val="17"/>
              </w:rPr>
            </w:pPr>
            <w:r>
              <w:rPr>
                <w:rFonts w:hint="eastAsia" w:ascii="Verdana" w:hAnsi="Verdana"/>
                <w:sz w:val="17"/>
                <w:szCs w:val="17"/>
              </w:rPr>
              <w:t>100%</w:t>
            </w:r>
          </w:p>
        </w:tc>
      </w:tr>
    </w:tbl>
    <w:p w14:paraId="601419D5">
      <w:pPr>
        <w:pStyle w:val="3"/>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毕业生</w:t>
      </w:r>
      <w:r>
        <w:rPr>
          <w:rFonts w:hint="eastAsia" w:ascii="仿宋" w:hAnsi="仿宋" w:eastAsia="仿宋" w:cs="仿宋"/>
          <w:sz w:val="32"/>
          <w:szCs w:val="32"/>
        </w:rPr>
        <w:t>区内</w:t>
      </w:r>
      <w:r>
        <w:rPr>
          <w:rFonts w:hint="eastAsia" w:ascii="仿宋" w:hAnsi="仿宋" w:eastAsia="仿宋" w:cs="仿宋"/>
          <w:sz w:val="32"/>
          <w:szCs w:val="32"/>
          <w:lang w:eastAsia="zh-CN"/>
        </w:rPr>
        <w:t>、</w:t>
      </w:r>
      <w:r>
        <w:rPr>
          <w:rFonts w:hint="eastAsia" w:ascii="仿宋" w:hAnsi="仿宋" w:eastAsia="仿宋" w:cs="仿宋"/>
          <w:sz w:val="32"/>
          <w:szCs w:val="32"/>
        </w:rPr>
        <w:t xml:space="preserve">外生源就业情况 </w:t>
      </w:r>
    </w:p>
    <w:p w14:paraId="3E6824B0">
      <w:pPr>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zh-CN"/>
        </w:rPr>
        <w:t>我院</w:t>
      </w:r>
      <w:r>
        <w:rPr>
          <w:rFonts w:hint="eastAsia" w:ascii="仿宋" w:hAnsi="仿宋" w:eastAsia="仿宋" w:cs="仿宋"/>
          <w:sz w:val="32"/>
          <w:szCs w:val="32"/>
        </w:rPr>
        <w:t>2024</w:t>
      </w:r>
      <w:r>
        <w:rPr>
          <w:rFonts w:hint="eastAsia" w:ascii="仿宋" w:hAnsi="仿宋" w:eastAsia="仿宋" w:cs="仿宋"/>
          <w:sz w:val="32"/>
          <w:szCs w:val="32"/>
          <w:lang w:val="zh-CN"/>
        </w:rPr>
        <w:t>届毕业生中</w:t>
      </w:r>
      <w:r>
        <w:rPr>
          <w:rFonts w:hint="eastAsia" w:ascii="仿宋" w:hAnsi="仿宋" w:eastAsia="仿宋" w:cs="仿宋"/>
          <w:sz w:val="32"/>
          <w:szCs w:val="32"/>
        </w:rPr>
        <w:t>，</w:t>
      </w:r>
      <w:r>
        <w:rPr>
          <w:rFonts w:hint="eastAsia" w:ascii="仿宋" w:hAnsi="仿宋" w:eastAsia="仿宋" w:cs="仿宋"/>
          <w:sz w:val="32"/>
          <w:szCs w:val="32"/>
          <w:lang w:val="zh-CN"/>
        </w:rPr>
        <w:t>区内生源的</w:t>
      </w:r>
      <w:r>
        <w:rPr>
          <w:rFonts w:hint="eastAsia" w:ascii="仿宋" w:hAnsi="仿宋" w:eastAsia="仿宋" w:cs="仿宋"/>
          <w:sz w:val="32"/>
          <w:szCs w:val="32"/>
          <w:lang w:eastAsia="zh-Hans"/>
        </w:rPr>
        <w:t>落实</w:t>
      </w:r>
      <w:r>
        <w:rPr>
          <w:rFonts w:hint="eastAsia" w:ascii="仿宋" w:hAnsi="仿宋" w:eastAsia="仿宋" w:cs="仿宋"/>
          <w:sz w:val="32"/>
          <w:szCs w:val="32"/>
          <w:lang w:val="zh-CN"/>
        </w:rPr>
        <w:t>率为</w:t>
      </w:r>
      <w:r>
        <w:rPr>
          <w:rFonts w:hint="eastAsia" w:ascii="仿宋" w:hAnsi="仿宋" w:eastAsia="仿宋" w:cs="仿宋"/>
          <w:sz w:val="32"/>
          <w:szCs w:val="32"/>
        </w:rPr>
        <w:t>97.19%，</w:t>
      </w:r>
      <w:r>
        <w:rPr>
          <w:rFonts w:hint="eastAsia" w:ascii="仿宋" w:hAnsi="仿宋" w:eastAsia="仿宋" w:cs="仿宋"/>
          <w:sz w:val="32"/>
          <w:szCs w:val="32"/>
          <w:lang w:val="zh-CN"/>
        </w:rPr>
        <w:t>区外生源</w:t>
      </w:r>
      <w:r>
        <w:rPr>
          <w:rFonts w:hint="eastAsia" w:ascii="仿宋" w:hAnsi="仿宋" w:eastAsia="仿宋" w:cs="仿宋"/>
          <w:sz w:val="32"/>
          <w:szCs w:val="32"/>
        </w:rPr>
        <w:t>落实率</w:t>
      </w:r>
      <w:r>
        <w:rPr>
          <w:rFonts w:hint="eastAsia" w:ascii="仿宋" w:hAnsi="仿宋" w:eastAsia="仿宋" w:cs="仿宋"/>
          <w:sz w:val="32"/>
          <w:szCs w:val="32"/>
          <w:lang w:val="zh-CN"/>
        </w:rPr>
        <w:t>为</w:t>
      </w:r>
      <w:r>
        <w:rPr>
          <w:rFonts w:hint="eastAsia" w:ascii="仿宋" w:hAnsi="仿宋" w:eastAsia="仿宋" w:cs="仿宋"/>
          <w:sz w:val="32"/>
          <w:szCs w:val="32"/>
        </w:rPr>
        <w:t>100.00%</w:t>
      </w:r>
      <w:r>
        <w:rPr>
          <w:rFonts w:hint="eastAsia" w:ascii="仿宋" w:hAnsi="仿宋" w:eastAsia="仿宋" w:cs="仿宋"/>
          <w:sz w:val="32"/>
          <w:szCs w:val="32"/>
          <w:lang w:val="zh-CN"/>
        </w:rPr>
        <w:t>。</w:t>
      </w:r>
    </w:p>
    <w:tbl>
      <w:tblPr>
        <w:tblStyle w:val="27"/>
        <w:tblW w:w="8359" w:type="dxa"/>
        <w:tblInd w:w="0" w:type="dxa"/>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Layout w:type="autofit"/>
        <w:tblCellMar>
          <w:top w:w="0" w:type="dxa"/>
          <w:left w:w="108" w:type="dxa"/>
          <w:bottom w:w="0" w:type="dxa"/>
          <w:right w:w="108" w:type="dxa"/>
        </w:tblCellMar>
      </w:tblPr>
      <w:tblGrid>
        <w:gridCol w:w="2122"/>
        <w:gridCol w:w="1559"/>
        <w:gridCol w:w="1559"/>
        <w:gridCol w:w="1559"/>
        <w:gridCol w:w="1560"/>
      </w:tblGrid>
      <w:tr w14:paraId="722860FC">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70" w:hRule="atLeast"/>
        </w:trPr>
        <w:tc>
          <w:tcPr>
            <w:tcW w:w="2122" w:type="dxa"/>
            <w:tcBorders>
              <w:top w:val="single" w:color="70AD47" w:themeColor="accent6" w:sz="4" w:space="0"/>
              <w:left w:val="single" w:color="70AD47" w:themeColor="accent6" w:sz="4" w:space="0"/>
              <w:bottom w:val="single" w:color="70AD47" w:themeColor="accent6" w:sz="4" w:space="0"/>
              <w:right w:val="nil"/>
              <w:insideH w:val="single" w:sz="4" w:space="0"/>
              <w:insideV w:val="nil"/>
            </w:tcBorders>
            <w:shd w:val="clear" w:color="auto" w:fill="70AD47" w:themeFill="accent6"/>
            <w:noWrap/>
          </w:tcPr>
          <w:p w14:paraId="3CD18973">
            <w:pPr>
              <w:widowControl/>
              <w:jc w:val="center"/>
              <w:rPr>
                <w:rFonts w:ascii="宋体" w:hAnsi="宋体" w:eastAsia="宋体" w:cs="宋体"/>
                <w:b w:val="0"/>
                <w:bCs w:val="0"/>
                <w:color w:val="FFFFFF" w:themeColor="background1"/>
                <w:kern w:val="0"/>
                <w:sz w:val="20"/>
                <w14:textFill>
                  <w14:solidFill>
                    <w14:schemeClr w14:val="bg1"/>
                  </w14:solidFill>
                </w14:textFill>
              </w:rPr>
            </w:pPr>
            <w:r>
              <w:rPr>
                <w:rFonts w:hint="eastAsia" w:ascii="宋体" w:hAnsi="宋体" w:eastAsia="宋体" w:cs="宋体"/>
                <w:b/>
                <w:bCs/>
                <w:color w:val="auto"/>
                <w:kern w:val="0"/>
                <w:sz w:val="20"/>
              </w:rPr>
              <w:t>生源地</w:t>
            </w:r>
          </w:p>
        </w:tc>
        <w:tc>
          <w:tcPr>
            <w:tcW w:w="1559" w:type="dxa"/>
            <w:tcBorders>
              <w:top w:val="single" w:color="70AD47" w:themeColor="accent6" w:sz="4" w:space="0"/>
              <w:bottom w:val="single" w:color="70AD47" w:themeColor="accent6" w:sz="4" w:space="0"/>
              <w:right w:val="nil"/>
              <w:insideH w:val="single" w:sz="4" w:space="0"/>
              <w:insideV w:val="nil"/>
            </w:tcBorders>
            <w:shd w:val="clear" w:color="auto" w:fill="70AD47" w:themeFill="accent6"/>
            <w:noWrap/>
          </w:tcPr>
          <w:p w14:paraId="6E276C81">
            <w:pPr>
              <w:widowControl/>
              <w:jc w:val="center"/>
              <w:rPr>
                <w:rFonts w:ascii="宋体" w:hAnsi="宋体" w:eastAsia="宋体" w:cs="宋体"/>
                <w:b w:val="0"/>
                <w:bCs w:val="0"/>
                <w:color w:val="FFFFFF" w:themeColor="background1"/>
                <w:kern w:val="0"/>
                <w:sz w:val="20"/>
                <w14:textFill>
                  <w14:solidFill>
                    <w14:schemeClr w14:val="bg1"/>
                  </w14:solidFill>
                </w14:textFill>
              </w:rPr>
            </w:pPr>
            <w:r>
              <w:rPr>
                <w:rFonts w:hint="eastAsia" w:ascii="宋体" w:hAnsi="宋体" w:eastAsia="宋体" w:cs="宋体"/>
                <w:b/>
                <w:bCs/>
                <w:color w:val="auto"/>
                <w:kern w:val="0"/>
                <w:sz w:val="20"/>
              </w:rPr>
              <w:t>毕业生数</w:t>
            </w:r>
          </w:p>
        </w:tc>
        <w:tc>
          <w:tcPr>
            <w:tcW w:w="1559" w:type="dxa"/>
            <w:tcBorders>
              <w:top w:val="single" w:color="70AD47" w:themeColor="accent6" w:sz="4" w:space="0"/>
              <w:bottom w:val="single" w:color="70AD47" w:themeColor="accent6" w:sz="4" w:space="0"/>
              <w:right w:val="nil"/>
              <w:insideH w:val="single" w:sz="4" w:space="0"/>
              <w:insideV w:val="nil"/>
            </w:tcBorders>
            <w:shd w:val="clear" w:color="auto" w:fill="70AD47" w:themeFill="accent6"/>
          </w:tcPr>
          <w:p w14:paraId="092C6764">
            <w:pPr>
              <w:widowControl/>
              <w:jc w:val="center"/>
              <w:rPr>
                <w:rFonts w:ascii="宋体" w:hAnsi="宋体" w:eastAsia="宋体" w:cs="宋体"/>
                <w:b w:val="0"/>
                <w:bCs w:val="0"/>
                <w:color w:val="FFFFFF" w:themeColor="background1"/>
                <w:kern w:val="0"/>
                <w:sz w:val="20"/>
                <w14:textFill>
                  <w14:solidFill>
                    <w14:schemeClr w14:val="bg1"/>
                  </w14:solidFill>
                </w14:textFill>
              </w:rPr>
            </w:pPr>
            <w:r>
              <w:rPr>
                <w:rFonts w:hint="eastAsia" w:ascii="宋体" w:hAnsi="宋体" w:eastAsia="宋体" w:cs="宋体"/>
                <w:b/>
                <w:bCs/>
                <w:color w:val="auto"/>
                <w:kern w:val="0"/>
                <w:sz w:val="20"/>
              </w:rPr>
              <w:t>生源</w:t>
            </w:r>
            <w:r>
              <w:rPr>
                <w:rFonts w:ascii="宋体" w:hAnsi="宋体" w:eastAsia="宋体" w:cs="宋体"/>
                <w:b/>
                <w:bCs/>
                <w:color w:val="auto"/>
                <w:kern w:val="0"/>
                <w:sz w:val="20"/>
              </w:rPr>
              <w:t>占比</w:t>
            </w:r>
          </w:p>
        </w:tc>
        <w:tc>
          <w:tcPr>
            <w:tcW w:w="1559" w:type="dxa"/>
            <w:tcBorders>
              <w:top w:val="single" w:color="70AD47" w:themeColor="accent6" w:sz="4" w:space="0"/>
              <w:bottom w:val="single" w:color="70AD47" w:themeColor="accent6" w:sz="4" w:space="0"/>
              <w:right w:val="nil"/>
              <w:insideH w:val="single" w:sz="4" w:space="0"/>
              <w:insideV w:val="nil"/>
            </w:tcBorders>
            <w:shd w:val="clear" w:color="auto" w:fill="70AD47" w:themeFill="accent6"/>
            <w:noWrap/>
          </w:tcPr>
          <w:p w14:paraId="2871995B">
            <w:pPr>
              <w:widowControl/>
              <w:jc w:val="center"/>
              <w:rPr>
                <w:rFonts w:ascii="宋体" w:hAnsi="宋体" w:eastAsia="宋体" w:cs="宋体"/>
                <w:b w:val="0"/>
                <w:bCs w:val="0"/>
                <w:color w:val="FFFFFF" w:themeColor="background1"/>
                <w:kern w:val="0"/>
                <w:sz w:val="20"/>
                <w14:textFill>
                  <w14:solidFill>
                    <w14:schemeClr w14:val="bg1"/>
                  </w14:solidFill>
                </w14:textFill>
              </w:rPr>
            </w:pPr>
            <w:r>
              <w:rPr>
                <w:rFonts w:hint="eastAsia" w:ascii="宋体" w:hAnsi="宋体" w:eastAsia="宋体" w:cs="宋体"/>
                <w:b/>
                <w:bCs/>
                <w:color w:val="auto"/>
                <w:kern w:val="0"/>
                <w:sz w:val="20"/>
                <w:szCs w:val="24"/>
              </w:rPr>
              <w:t>落实人数</w:t>
            </w:r>
          </w:p>
        </w:tc>
        <w:tc>
          <w:tcPr>
            <w:tcW w:w="1560" w:type="dxa"/>
            <w:tcBorders>
              <w:top w:val="single" w:color="70AD47" w:themeColor="accent6" w:sz="4" w:space="0"/>
              <w:bottom w:val="single" w:color="70AD47" w:themeColor="accent6" w:sz="4" w:space="0"/>
              <w:right w:val="single" w:color="70AD47" w:themeColor="accent6" w:sz="4" w:space="0"/>
              <w:insideH w:val="single" w:sz="4" w:space="0"/>
              <w:insideV w:val="nil"/>
            </w:tcBorders>
            <w:shd w:val="clear" w:color="auto" w:fill="70AD47" w:themeFill="accent6"/>
            <w:noWrap/>
          </w:tcPr>
          <w:p w14:paraId="784B5BC6">
            <w:pPr>
              <w:widowControl/>
              <w:jc w:val="center"/>
              <w:rPr>
                <w:rFonts w:ascii="宋体" w:hAnsi="宋体" w:eastAsia="宋体" w:cs="宋体"/>
                <w:b w:val="0"/>
                <w:bCs w:val="0"/>
                <w:color w:val="FFFFFF" w:themeColor="background1"/>
                <w:kern w:val="0"/>
                <w:sz w:val="20"/>
                <w14:textFill>
                  <w14:solidFill>
                    <w14:schemeClr w14:val="bg1"/>
                  </w14:solidFill>
                </w14:textFill>
              </w:rPr>
            </w:pPr>
            <w:r>
              <w:rPr>
                <w:rFonts w:ascii="宋体" w:hAnsi="宋体" w:eastAsia="宋体" w:cs="宋体"/>
                <w:b/>
                <w:bCs/>
                <w:color w:val="auto"/>
                <w:kern w:val="0"/>
                <w:sz w:val="20"/>
              </w:rPr>
              <w:t>落实率</w:t>
            </w:r>
          </w:p>
        </w:tc>
      </w:tr>
      <w:tr w14:paraId="25157CA7">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70" w:hRule="atLeast"/>
        </w:trPr>
        <w:tc>
          <w:tcPr>
            <w:tcW w:w="2122" w:type="dxa"/>
            <w:shd w:val="clear" w:color="auto" w:fill="E2EFD9" w:themeFill="accent6" w:themeFillTint="33"/>
            <w:noWrap/>
          </w:tcPr>
          <w:p w14:paraId="51158206">
            <w:pPr>
              <w:widowControl/>
              <w:jc w:val="center"/>
              <w:rPr>
                <w:rFonts w:ascii="宋体" w:hAnsi="宋体" w:eastAsia="宋体" w:cs="宋体"/>
                <w:b/>
                <w:bCs w:val="0"/>
                <w:kern w:val="0"/>
                <w:sz w:val="20"/>
              </w:rPr>
            </w:pPr>
            <w:r>
              <w:rPr>
                <w:rFonts w:hint="eastAsia" w:ascii="宋体" w:hAnsi="宋体" w:eastAsia="宋体" w:cs="宋体"/>
                <w:b w:val="0"/>
                <w:bCs/>
                <w:kern w:val="0"/>
                <w:sz w:val="20"/>
              </w:rPr>
              <w:t>区内</w:t>
            </w:r>
          </w:p>
        </w:tc>
        <w:tc>
          <w:tcPr>
            <w:tcW w:w="1559" w:type="dxa"/>
            <w:shd w:val="clear" w:color="auto" w:fill="E2EFD9" w:themeFill="accent6" w:themeFillTint="33"/>
            <w:noWrap/>
          </w:tcPr>
          <w:p w14:paraId="71369B5A">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320</w:t>
            </w:r>
          </w:p>
        </w:tc>
        <w:tc>
          <w:tcPr>
            <w:tcW w:w="1559" w:type="dxa"/>
            <w:shd w:val="clear" w:color="auto" w:fill="E2EFD9" w:themeFill="accent6" w:themeFillTint="33"/>
          </w:tcPr>
          <w:p w14:paraId="2EA405CB">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99.07%</w:t>
            </w:r>
          </w:p>
        </w:tc>
        <w:tc>
          <w:tcPr>
            <w:tcW w:w="1559" w:type="dxa"/>
            <w:shd w:val="clear" w:color="auto" w:fill="E2EFD9" w:themeFill="accent6" w:themeFillTint="33"/>
            <w:noWrap/>
          </w:tcPr>
          <w:p w14:paraId="600C546B">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311</w:t>
            </w:r>
          </w:p>
        </w:tc>
        <w:tc>
          <w:tcPr>
            <w:tcW w:w="1560" w:type="dxa"/>
            <w:shd w:val="clear" w:color="auto" w:fill="E2EFD9" w:themeFill="accent6" w:themeFillTint="33"/>
            <w:noWrap/>
          </w:tcPr>
          <w:p w14:paraId="74F0BC33">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97.19%</w:t>
            </w:r>
          </w:p>
        </w:tc>
      </w:tr>
      <w:tr w14:paraId="10A1210F">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70" w:hRule="atLeast"/>
        </w:trPr>
        <w:tc>
          <w:tcPr>
            <w:tcW w:w="2122" w:type="dxa"/>
            <w:shd w:val="clear" w:color="auto" w:fill="E2EFD9" w:themeFill="accent6" w:themeFillTint="33"/>
            <w:noWrap/>
          </w:tcPr>
          <w:p w14:paraId="26B43D89">
            <w:pPr>
              <w:widowControl/>
              <w:jc w:val="center"/>
              <w:rPr>
                <w:rFonts w:ascii="宋体" w:hAnsi="宋体" w:eastAsia="宋体" w:cs="宋体"/>
                <w:b/>
                <w:bCs w:val="0"/>
                <w:kern w:val="0"/>
                <w:sz w:val="20"/>
              </w:rPr>
            </w:pPr>
            <w:r>
              <w:rPr>
                <w:rFonts w:hint="eastAsia" w:ascii="宋体" w:hAnsi="宋体" w:eastAsia="宋体" w:cs="宋体"/>
                <w:b w:val="0"/>
                <w:bCs/>
                <w:kern w:val="0"/>
                <w:sz w:val="20"/>
              </w:rPr>
              <w:t>区外</w:t>
            </w:r>
          </w:p>
        </w:tc>
        <w:tc>
          <w:tcPr>
            <w:tcW w:w="1559" w:type="dxa"/>
            <w:shd w:val="clear" w:color="auto" w:fill="E2EFD9" w:themeFill="accent6" w:themeFillTint="33"/>
            <w:noWrap/>
          </w:tcPr>
          <w:p w14:paraId="4643C315">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3</w:t>
            </w:r>
          </w:p>
        </w:tc>
        <w:tc>
          <w:tcPr>
            <w:tcW w:w="1559" w:type="dxa"/>
            <w:shd w:val="clear" w:color="auto" w:fill="E2EFD9" w:themeFill="accent6" w:themeFillTint="33"/>
          </w:tcPr>
          <w:p w14:paraId="1D5F30A6">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0.93%</w:t>
            </w:r>
          </w:p>
        </w:tc>
        <w:tc>
          <w:tcPr>
            <w:tcW w:w="1559" w:type="dxa"/>
            <w:shd w:val="clear" w:color="auto" w:fill="E2EFD9" w:themeFill="accent6" w:themeFillTint="33"/>
            <w:noWrap/>
          </w:tcPr>
          <w:p w14:paraId="1EAF2764">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3</w:t>
            </w:r>
          </w:p>
        </w:tc>
        <w:tc>
          <w:tcPr>
            <w:tcW w:w="1560" w:type="dxa"/>
            <w:shd w:val="clear" w:color="auto" w:fill="E2EFD9" w:themeFill="accent6" w:themeFillTint="33"/>
            <w:noWrap/>
          </w:tcPr>
          <w:p w14:paraId="6B549B31">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100.00%</w:t>
            </w:r>
          </w:p>
        </w:tc>
      </w:tr>
      <w:tr w14:paraId="0C19C8D6">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70" w:hRule="atLeast"/>
        </w:trPr>
        <w:tc>
          <w:tcPr>
            <w:tcW w:w="2122" w:type="dxa"/>
            <w:shd w:val="clear" w:color="auto" w:fill="E2EFD9" w:themeFill="accent6" w:themeFillTint="33"/>
            <w:noWrap/>
          </w:tcPr>
          <w:p w14:paraId="2C40EEDA">
            <w:pPr>
              <w:widowControl/>
              <w:jc w:val="center"/>
              <w:rPr>
                <w:rFonts w:ascii="宋体" w:hAnsi="宋体" w:eastAsia="宋体" w:cs="宋体"/>
                <w:b/>
                <w:bCs w:val="0"/>
                <w:kern w:val="0"/>
                <w:sz w:val="20"/>
              </w:rPr>
            </w:pPr>
            <w:r>
              <w:rPr>
                <w:rFonts w:hint="eastAsia" w:ascii="宋体" w:hAnsi="宋体" w:eastAsia="宋体" w:cs="宋体"/>
                <w:b w:val="0"/>
                <w:bCs/>
                <w:kern w:val="0"/>
                <w:sz w:val="20"/>
              </w:rPr>
              <w:t>合计</w:t>
            </w:r>
          </w:p>
        </w:tc>
        <w:tc>
          <w:tcPr>
            <w:tcW w:w="1559" w:type="dxa"/>
            <w:shd w:val="clear" w:color="auto" w:fill="E2EFD9" w:themeFill="accent6" w:themeFillTint="33"/>
            <w:noWrap/>
          </w:tcPr>
          <w:p w14:paraId="1B54648E">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323</w:t>
            </w:r>
          </w:p>
        </w:tc>
        <w:tc>
          <w:tcPr>
            <w:tcW w:w="1559" w:type="dxa"/>
            <w:shd w:val="clear" w:color="auto" w:fill="E2EFD9" w:themeFill="accent6" w:themeFillTint="33"/>
          </w:tcPr>
          <w:p w14:paraId="625BF2FD">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100%</w:t>
            </w:r>
          </w:p>
        </w:tc>
        <w:tc>
          <w:tcPr>
            <w:tcW w:w="1559" w:type="dxa"/>
            <w:shd w:val="clear" w:color="auto" w:fill="E2EFD9" w:themeFill="accent6" w:themeFillTint="33"/>
            <w:noWrap/>
          </w:tcPr>
          <w:p w14:paraId="14E9F251">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314</w:t>
            </w:r>
          </w:p>
        </w:tc>
        <w:tc>
          <w:tcPr>
            <w:tcW w:w="1560" w:type="dxa"/>
            <w:shd w:val="clear" w:color="auto" w:fill="E2EFD9" w:themeFill="accent6" w:themeFillTint="33"/>
            <w:noWrap/>
          </w:tcPr>
          <w:p w14:paraId="6AAC962B">
            <w:pPr>
              <w:widowControl/>
              <w:jc w:val="center"/>
              <w:rPr>
                <w:rFonts w:hint="eastAsia" w:ascii="Helvetica" w:hAnsi="Helvetica" w:eastAsia="宋体" w:cs="宋体"/>
                <w:kern w:val="0"/>
                <w:sz w:val="20"/>
                <w:szCs w:val="21"/>
              </w:rPr>
            </w:pPr>
            <w:r>
              <w:rPr>
                <w:rFonts w:hint="eastAsia" w:ascii="Helvetica" w:hAnsi="Helvetica" w:eastAsia="宋体" w:cs="宋体"/>
                <w:kern w:val="0"/>
                <w:sz w:val="20"/>
                <w:szCs w:val="21"/>
              </w:rPr>
              <w:t>97.21%</w:t>
            </w:r>
          </w:p>
        </w:tc>
      </w:tr>
    </w:tbl>
    <w:p w14:paraId="7ABB6927">
      <w:pPr>
        <w:pStyle w:val="3"/>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毕业生</w:t>
      </w:r>
      <w:r>
        <w:rPr>
          <w:rFonts w:hint="eastAsia" w:ascii="仿宋" w:hAnsi="仿宋" w:eastAsia="仿宋" w:cs="仿宋"/>
          <w:sz w:val="32"/>
          <w:szCs w:val="32"/>
        </w:rPr>
        <w:t>困难群体生源就业情况</w:t>
      </w:r>
    </w:p>
    <w:p w14:paraId="4E7DF48A">
      <w:pPr>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我院</w:t>
      </w:r>
      <w:r>
        <w:rPr>
          <w:rFonts w:hint="eastAsia" w:ascii="仿宋" w:hAnsi="仿宋" w:eastAsia="仿宋" w:cs="仿宋"/>
          <w:sz w:val="32"/>
          <w:szCs w:val="32"/>
        </w:rPr>
        <w:t>2024</w:t>
      </w:r>
      <w:r>
        <w:rPr>
          <w:rFonts w:hint="eastAsia" w:ascii="仿宋" w:hAnsi="仿宋" w:eastAsia="仿宋" w:cs="仿宋"/>
          <w:sz w:val="32"/>
          <w:szCs w:val="32"/>
          <w:lang w:val="zh-CN"/>
        </w:rPr>
        <w:t>届毕业生中</w:t>
      </w:r>
      <w:r>
        <w:rPr>
          <w:rFonts w:hint="eastAsia" w:ascii="仿宋" w:hAnsi="仿宋" w:eastAsia="仿宋" w:cs="仿宋"/>
          <w:sz w:val="32"/>
          <w:szCs w:val="32"/>
        </w:rPr>
        <w:t>，</w:t>
      </w:r>
      <w:r>
        <w:rPr>
          <w:rFonts w:hint="eastAsia" w:ascii="仿宋" w:hAnsi="仿宋" w:eastAsia="仿宋" w:cs="仿宋"/>
          <w:sz w:val="32"/>
          <w:szCs w:val="32"/>
          <w:lang w:val="zh-CN"/>
        </w:rPr>
        <w:t>非困难生毕业生的</w:t>
      </w:r>
      <w:r>
        <w:rPr>
          <w:rFonts w:hint="eastAsia" w:ascii="仿宋" w:hAnsi="仿宋" w:eastAsia="仿宋" w:cs="仿宋"/>
          <w:sz w:val="32"/>
          <w:szCs w:val="32"/>
        </w:rPr>
        <w:t>落实率</w:t>
      </w:r>
      <w:r>
        <w:rPr>
          <w:rFonts w:hint="eastAsia" w:ascii="仿宋" w:hAnsi="仿宋" w:eastAsia="仿宋" w:cs="仿宋"/>
          <w:sz w:val="32"/>
          <w:szCs w:val="32"/>
          <w:lang w:val="zh-CN"/>
        </w:rPr>
        <w:t>为</w:t>
      </w:r>
      <w:r>
        <w:rPr>
          <w:rFonts w:hint="eastAsia" w:ascii="仿宋" w:hAnsi="仿宋" w:eastAsia="仿宋" w:cs="仿宋"/>
          <w:sz w:val="32"/>
          <w:szCs w:val="32"/>
          <w:lang w:val="en-US" w:eastAsia="zh-CN"/>
        </w:rPr>
        <w:t>98.63</w:t>
      </w:r>
      <w:r>
        <w:rPr>
          <w:rFonts w:hint="eastAsia" w:ascii="仿宋" w:hAnsi="仿宋" w:eastAsia="仿宋" w:cs="仿宋"/>
          <w:sz w:val="32"/>
          <w:szCs w:val="32"/>
        </w:rPr>
        <w:t>%，</w:t>
      </w:r>
      <w:r>
        <w:rPr>
          <w:rFonts w:hint="eastAsia" w:ascii="仿宋" w:hAnsi="仿宋" w:eastAsia="仿宋" w:cs="仿宋"/>
          <w:sz w:val="32"/>
          <w:szCs w:val="32"/>
          <w:lang w:val="zh-CN"/>
        </w:rPr>
        <w:t>困难生毕业生的</w:t>
      </w:r>
      <w:r>
        <w:rPr>
          <w:rFonts w:hint="eastAsia" w:ascii="仿宋" w:hAnsi="仿宋" w:eastAsia="仿宋" w:cs="仿宋"/>
          <w:sz w:val="32"/>
          <w:szCs w:val="32"/>
        </w:rPr>
        <w:t>落实率</w:t>
      </w:r>
      <w:r>
        <w:rPr>
          <w:rFonts w:hint="eastAsia" w:ascii="仿宋" w:hAnsi="仿宋" w:eastAsia="仿宋" w:cs="仿宋"/>
          <w:sz w:val="32"/>
          <w:szCs w:val="32"/>
          <w:lang w:val="zh-CN"/>
        </w:rPr>
        <w:t>为</w:t>
      </w:r>
      <w:r>
        <w:rPr>
          <w:rFonts w:hint="eastAsia" w:ascii="仿宋" w:hAnsi="仿宋" w:eastAsia="仿宋" w:cs="仿宋"/>
          <w:sz w:val="32"/>
          <w:szCs w:val="32"/>
        </w:rPr>
        <w:t>100%</w:t>
      </w:r>
      <w:r>
        <w:rPr>
          <w:rFonts w:hint="eastAsia" w:ascii="仿宋" w:hAnsi="仿宋" w:eastAsia="仿宋" w:cs="仿宋"/>
          <w:sz w:val="32"/>
          <w:szCs w:val="32"/>
          <w:lang w:val="zh-CN"/>
        </w:rPr>
        <w:t>。</w:t>
      </w:r>
    </w:p>
    <w:tbl>
      <w:tblPr>
        <w:tblStyle w:val="27"/>
        <w:tblW w:w="8359" w:type="dxa"/>
        <w:tblInd w:w="0" w:type="dxa"/>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Layout w:type="autofit"/>
        <w:tblCellMar>
          <w:top w:w="0" w:type="dxa"/>
          <w:left w:w="108" w:type="dxa"/>
          <w:bottom w:w="0" w:type="dxa"/>
          <w:right w:w="108" w:type="dxa"/>
        </w:tblCellMar>
      </w:tblPr>
      <w:tblGrid>
        <w:gridCol w:w="2689"/>
        <w:gridCol w:w="1417"/>
        <w:gridCol w:w="1418"/>
        <w:gridCol w:w="1417"/>
        <w:gridCol w:w="1418"/>
      </w:tblGrid>
      <w:tr w14:paraId="7001240C">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70" w:hRule="atLeast"/>
        </w:trPr>
        <w:tc>
          <w:tcPr>
            <w:tcW w:w="2689" w:type="dxa"/>
            <w:tcBorders>
              <w:top w:val="single" w:color="70AD47" w:themeColor="accent6" w:sz="4" w:space="0"/>
              <w:left w:val="single" w:color="70AD47" w:themeColor="accent6" w:sz="4" w:space="0"/>
              <w:bottom w:val="single" w:color="70AD47" w:themeColor="accent6" w:sz="4" w:space="0"/>
              <w:right w:val="nil"/>
              <w:insideH w:val="single" w:sz="4" w:space="0"/>
              <w:insideV w:val="nil"/>
            </w:tcBorders>
            <w:shd w:val="clear" w:color="auto" w:fill="70AD47" w:themeFill="accent6"/>
            <w:noWrap/>
          </w:tcPr>
          <w:p w14:paraId="1DE1666D">
            <w:pPr>
              <w:widowControl/>
              <w:jc w:val="center"/>
              <w:rPr>
                <w:rFonts w:hint="eastAsia" w:ascii="仿宋" w:hAnsi="仿宋" w:eastAsia="仿宋" w:cs="仿宋"/>
                <w:b w:val="0"/>
                <w:bCs w:val="0"/>
                <w:color w:val="FFFFFF" w:themeColor="background1"/>
                <w:kern w:val="0"/>
                <w:sz w:val="20"/>
                <w14:textFill>
                  <w14:solidFill>
                    <w14:schemeClr w14:val="bg1"/>
                  </w14:solidFill>
                </w14:textFill>
              </w:rPr>
            </w:pPr>
            <w:r>
              <w:rPr>
                <w:rFonts w:hint="eastAsia" w:ascii="仿宋" w:hAnsi="仿宋" w:eastAsia="仿宋" w:cs="仿宋"/>
                <w:b/>
                <w:bCs/>
                <w:color w:val="auto"/>
                <w:kern w:val="0"/>
                <w:sz w:val="20"/>
              </w:rPr>
              <w:t>困难生类别</w:t>
            </w:r>
          </w:p>
        </w:tc>
        <w:tc>
          <w:tcPr>
            <w:tcW w:w="1417" w:type="dxa"/>
            <w:tcBorders>
              <w:top w:val="single" w:color="70AD47" w:themeColor="accent6" w:sz="4" w:space="0"/>
              <w:bottom w:val="single" w:color="70AD47" w:themeColor="accent6" w:sz="4" w:space="0"/>
              <w:right w:val="nil"/>
              <w:insideH w:val="single" w:sz="4" w:space="0"/>
              <w:insideV w:val="nil"/>
            </w:tcBorders>
            <w:shd w:val="clear" w:color="auto" w:fill="70AD47" w:themeFill="accent6"/>
            <w:noWrap/>
          </w:tcPr>
          <w:p w14:paraId="2B8FE9B8">
            <w:pPr>
              <w:widowControl/>
              <w:jc w:val="center"/>
              <w:rPr>
                <w:rFonts w:hint="eastAsia" w:ascii="仿宋" w:hAnsi="仿宋" w:eastAsia="仿宋" w:cs="仿宋"/>
                <w:b w:val="0"/>
                <w:bCs w:val="0"/>
                <w:color w:val="FFFFFF" w:themeColor="background1"/>
                <w:kern w:val="0"/>
                <w:sz w:val="20"/>
                <w14:textFill>
                  <w14:solidFill>
                    <w14:schemeClr w14:val="bg1"/>
                  </w14:solidFill>
                </w14:textFill>
              </w:rPr>
            </w:pPr>
            <w:r>
              <w:rPr>
                <w:rFonts w:hint="eastAsia" w:ascii="仿宋" w:hAnsi="仿宋" w:eastAsia="仿宋" w:cs="仿宋"/>
                <w:b/>
                <w:bCs/>
                <w:color w:val="auto"/>
                <w:kern w:val="0"/>
                <w:sz w:val="20"/>
              </w:rPr>
              <w:t>毕业生数</w:t>
            </w:r>
          </w:p>
        </w:tc>
        <w:tc>
          <w:tcPr>
            <w:tcW w:w="1418" w:type="dxa"/>
            <w:tcBorders>
              <w:top w:val="single" w:color="70AD47" w:themeColor="accent6" w:sz="4" w:space="0"/>
              <w:bottom w:val="single" w:color="70AD47" w:themeColor="accent6" w:sz="4" w:space="0"/>
              <w:right w:val="nil"/>
              <w:insideH w:val="single" w:sz="4" w:space="0"/>
              <w:insideV w:val="nil"/>
            </w:tcBorders>
            <w:shd w:val="clear" w:color="auto" w:fill="70AD47" w:themeFill="accent6"/>
          </w:tcPr>
          <w:p w14:paraId="17D84C68">
            <w:pPr>
              <w:widowControl/>
              <w:jc w:val="center"/>
              <w:rPr>
                <w:rFonts w:hint="eastAsia" w:ascii="仿宋" w:hAnsi="仿宋" w:eastAsia="仿宋" w:cs="仿宋"/>
                <w:b w:val="0"/>
                <w:bCs w:val="0"/>
                <w:color w:val="FFFFFF" w:themeColor="background1"/>
                <w:kern w:val="0"/>
                <w:sz w:val="20"/>
                <w14:textFill>
                  <w14:solidFill>
                    <w14:schemeClr w14:val="bg1"/>
                  </w14:solidFill>
                </w14:textFill>
              </w:rPr>
            </w:pPr>
            <w:r>
              <w:rPr>
                <w:rFonts w:hint="eastAsia" w:ascii="仿宋" w:hAnsi="仿宋" w:eastAsia="仿宋" w:cs="仿宋"/>
                <w:b/>
                <w:bCs/>
                <w:color w:val="auto"/>
                <w:kern w:val="0"/>
                <w:sz w:val="20"/>
              </w:rPr>
              <w:t>生源占比</w:t>
            </w:r>
          </w:p>
        </w:tc>
        <w:tc>
          <w:tcPr>
            <w:tcW w:w="1417" w:type="dxa"/>
            <w:tcBorders>
              <w:top w:val="single" w:color="70AD47" w:themeColor="accent6" w:sz="4" w:space="0"/>
              <w:bottom w:val="single" w:color="70AD47" w:themeColor="accent6" w:sz="4" w:space="0"/>
              <w:right w:val="nil"/>
              <w:insideH w:val="single" w:sz="4" w:space="0"/>
              <w:insideV w:val="nil"/>
            </w:tcBorders>
            <w:shd w:val="clear" w:color="auto" w:fill="70AD47" w:themeFill="accent6"/>
            <w:noWrap/>
          </w:tcPr>
          <w:p w14:paraId="54C1DC0F">
            <w:pPr>
              <w:widowControl/>
              <w:jc w:val="center"/>
              <w:rPr>
                <w:rFonts w:hint="eastAsia" w:ascii="仿宋" w:hAnsi="仿宋" w:eastAsia="仿宋" w:cs="仿宋"/>
                <w:b w:val="0"/>
                <w:bCs w:val="0"/>
                <w:color w:val="FFFFFF" w:themeColor="background1"/>
                <w:kern w:val="0"/>
                <w:sz w:val="20"/>
                <w14:textFill>
                  <w14:solidFill>
                    <w14:schemeClr w14:val="bg1"/>
                  </w14:solidFill>
                </w14:textFill>
              </w:rPr>
            </w:pPr>
            <w:r>
              <w:rPr>
                <w:rFonts w:hint="eastAsia" w:ascii="仿宋" w:hAnsi="仿宋" w:eastAsia="仿宋" w:cs="仿宋"/>
                <w:b/>
                <w:bCs/>
                <w:color w:val="auto"/>
                <w:kern w:val="0"/>
                <w:sz w:val="20"/>
                <w:szCs w:val="24"/>
              </w:rPr>
              <w:t>落实人数</w:t>
            </w:r>
          </w:p>
        </w:tc>
        <w:tc>
          <w:tcPr>
            <w:tcW w:w="1418" w:type="dxa"/>
            <w:tcBorders>
              <w:top w:val="single" w:color="70AD47" w:themeColor="accent6" w:sz="4" w:space="0"/>
              <w:bottom w:val="single" w:color="70AD47" w:themeColor="accent6" w:sz="4" w:space="0"/>
              <w:right w:val="single" w:color="70AD47" w:themeColor="accent6" w:sz="4" w:space="0"/>
              <w:insideH w:val="single" w:sz="4" w:space="0"/>
              <w:insideV w:val="nil"/>
            </w:tcBorders>
            <w:shd w:val="clear" w:color="auto" w:fill="70AD47" w:themeFill="accent6"/>
            <w:noWrap/>
          </w:tcPr>
          <w:p w14:paraId="68B54ECA">
            <w:pPr>
              <w:widowControl/>
              <w:jc w:val="center"/>
              <w:rPr>
                <w:rFonts w:hint="eastAsia" w:ascii="仿宋" w:hAnsi="仿宋" w:eastAsia="仿宋" w:cs="仿宋"/>
                <w:b w:val="0"/>
                <w:bCs w:val="0"/>
                <w:color w:val="FFFFFF" w:themeColor="background1"/>
                <w:kern w:val="0"/>
                <w:sz w:val="20"/>
                <w14:textFill>
                  <w14:solidFill>
                    <w14:schemeClr w14:val="bg1"/>
                  </w14:solidFill>
                </w14:textFill>
              </w:rPr>
            </w:pPr>
            <w:r>
              <w:rPr>
                <w:rFonts w:hint="eastAsia" w:ascii="仿宋" w:hAnsi="仿宋" w:eastAsia="仿宋" w:cs="仿宋"/>
                <w:b/>
                <w:bCs/>
                <w:color w:val="auto"/>
                <w:kern w:val="0"/>
                <w:sz w:val="20"/>
              </w:rPr>
              <w:t>落实率</w:t>
            </w:r>
          </w:p>
        </w:tc>
      </w:tr>
      <w:tr w14:paraId="55A8948B">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70" w:hRule="atLeast"/>
        </w:trPr>
        <w:tc>
          <w:tcPr>
            <w:tcW w:w="2689" w:type="dxa"/>
            <w:shd w:val="clear" w:color="auto" w:fill="E2EFD9" w:themeFill="accent6" w:themeFillTint="33"/>
            <w:noWrap/>
          </w:tcPr>
          <w:p w14:paraId="12EEE063">
            <w:pPr>
              <w:widowControl/>
              <w:jc w:val="center"/>
              <w:rPr>
                <w:rFonts w:hint="eastAsia" w:ascii="仿宋" w:hAnsi="仿宋" w:eastAsia="仿宋" w:cs="仿宋"/>
                <w:b/>
                <w:bCs w:val="0"/>
                <w:kern w:val="0"/>
                <w:sz w:val="20"/>
              </w:rPr>
            </w:pPr>
            <w:r>
              <w:rPr>
                <w:rFonts w:hint="eastAsia" w:ascii="仿宋" w:hAnsi="仿宋" w:eastAsia="仿宋" w:cs="仿宋"/>
                <w:b w:val="0"/>
                <w:bCs/>
                <w:kern w:val="0"/>
                <w:sz w:val="20"/>
              </w:rPr>
              <w:t>非困难生</w:t>
            </w:r>
          </w:p>
        </w:tc>
        <w:tc>
          <w:tcPr>
            <w:tcW w:w="1417" w:type="dxa"/>
            <w:shd w:val="clear" w:color="auto" w:fill="E2EFD9" w:themeFill="accent6" w:themeFillTint="33"/>
            <w:noWrap/>
          </w:tcPr>
          <w:p w14:paraId="54C41977">
            <w:pPr>
              <w:widowControl/>
              <w:jc w:val="center"/>
              <w:rPr>
                <w:rFonts w:hint="eastAsia" w:ascii="仿宋" w:hAnsi="仿宋" w:eastAsia="仿宋" w:cs="仿宋"/>
                <w:kern w:val="0"/>
                <w:sz w:val="20"/>
                <w:szCs w:val="21"/>
              </w:rPr>
            </w:pPr>
            <w:r>
              <w:rPr>
                <w:rFonts w:hint="eastAsia" w:ascii="仿宋" w:hAnsi="仿宋" w:eastAsia="仿宋" w:cs="仿宋"/>
                <w:kern w:val="0"/>
                <w:sz w:val="20"/>
                <w:szCs w:val="21"/>
              </w:rPr>
              <w:t>292</w:t>
            </w:r>
          </w:p>
        </w:tc>
        <w:tc>
          <w:tcPr>
            <w:tcW w:w="1418" w:type="dxa"/>
            <w:shd w:val="clear" w:color="auto" w:fill="E2EFD9" w:themeFill="accent6" w:themeFillTint="33"/>
          </w:tcPr>
          <w:p w14:paraId="5C97F68B">
            <w:pPr>
              <w:widowControl/>
              <w:jc w:val="center"/>
              <w:rPr>
                <w:rFonts w:hint="eastAsia" w:ascii="仿宋" w:hAnsi="仿宋" w:eastAsia="仿宋" w:cs="仿宋"/>
                <w:kern w:val="0"/>
                <w:sz w:val="20"/>
                <w:szCs w:val="21"/>
              </w:rPr>
            </w:pPr>
            <w:r>
              <w:rPr>
                <w:rFonts w:hint="eastAsia" w:ascii="仿宋" w:hAnsi="仿宋" w:eastAsia="仿宋" w:cs="仿宋"/>
                <w:kern w:val="0"/>
                <w:sz w:val="20"/>
                <w:szCs w:val="21"/>
              </w:rPr>
              <w:t>90.40%</w:t>
            </w:r>
          </w:p>
        </w:tc>
        <w:tc>
          <w:tcPr>
            <w:tcW w:w="1417" w:type="dxa"/>
            <w:shd w:val="clear" w:color="auto" w:fill="E2EFD9" w:themeFill="accent6" w:themeFillTint="33"/>
            <w:noWrap/>
          </w:tcPr>
          <w:p w14:paraId="0DD400B8">
            <w:pPr>
              <w:widowControl/>
              <w:jc w:val="center"/>
              <w:rPr>
                <w:rFonts w:hint="eastAsia" w:ascii="仿宋" w:hAnsi="仿宋" w:eastAsia="仿宋" w:cs="仿宋"/>
                <w:kern w:val="0"/>
                <w:sz w:val="20"/>
                <w:szCs w:val="21"/>
                <w:lang w:val="en-US" w:eastAsia="zh-CN"/>
              </w:rPr>
            </w:pPr>
            <w:r>
              <w:rPr>
                <w:rFonts w:hint="eastAsia" w:ascii="仿宋" w:hAnsi="仿宋" w:eastAsia="仿宋" w:cs="仿宋"/>
                <w:kern w:val="0"/>
                <w:sz w:val="20"/>
                <w:szCs w:val="21"/>
                <w:lang w:val="en-US" w:eastAsia="zh-CN"/>
              </w:rPr>
              <w:t>288</w:t>
            </w:r>
          </w:p>
        </w:tc>
        <w:tc>
          <w:tcPr>
            <w:tcW w:w="1418" w:type="dxa"/>
            <w:shd w:val="clear" w:color="auto" w:fill="E2EFD9" w:themeFill="accent6" w:themeFillTint="33"/>
            <w:noWrap/>
          </w:tcPr>
          <w:p w14:paraId="6E2E51C0">
            <w:pPr>
              <w:widowControl/>
              <w:jc w:val="center"/>
              <w:rPr>
                <w:rFonts w:hint="eastAsia" w:ascii="仿宋" w:hAnsi="仿宋" w:eastAsia="仿宋" w:cs="仿宋"/>
                <w:kern w:val="0"/>
                <w:sz w:val="20"/>
                <w:szCs w:val="21"/>
              </w:rPr>
            </w:pPr>
            <w:r>
              <w:rPr>
                <w:rFonts w:hint="eastAsia" w:ascii="仿宋" w:hAnsi="仿宋" w:eastAsia="仿宋" w:cs="仿宋"/>
                <w:kern w:val="0"/>
                <w:sz w:val="20"/>
                <w:szCs w:val="21"/>
                <w:lang w:val="en-US" w:eastAsia="zh-CN"/>
              </w:rPr>
              <w:t>98.63</w:t>
            </w:r>
            <w:r>
              <w:rPr>
                <w:rFonts w:hint="eastAsia" w:ascii="仿宋" w:hAnsi="仿宋" w:eastAsia="仿宋" w:cs="仿宋"/>
                <w:kern w:val="0"/>
                <w:sz w:val="20"/>
                <w:szCs w:val="21"/>
              </w:rPr>
              <w:t>%</w:t>
            </w:r>
          </w:p>
        </w:tc>
      </w:tr>
      <w:tr w14:paraId="510DABCA">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70" w:hRule="atLeast"/>
        </w:trPr>
        <w:tc>
          <w:tcPr>
            <w:tcW w:w="2689" w:type="dxa"/>
            <w:shd w:val="clear" w:color="auto" w:fill="E2EFD9" w:themeFill="accent6" w:themeFillTint="33"/>
            <w:noWrap/>
          </w:tcPr>
          <w:p w14:paraId="746A18E9">
            <w:pPr>
              <w:widowControl/>
              <w:jc w:val="center"/>
              <w:rPr>
                <w:rFonts w:hint="eastAsia" w:ascii="仿宋" w:hAnsi="仿宋" w:eastAsia="仿宋" w:cs="仿宋"/>
                <w:b/>
                <w:bCs w:val="0"/>
                <w:kern w:val="0"/>
                <w:sz w:val="20"/>
              </w:rPr>
            </w:pPr>
            <w:r>
              <w:rPr>
                <w:rFonts w:hint="eastAsia" w:ascii="仿宋" w:hAnsi="仿宋" w:eastAsia="仿宋" w:cs="仿宋"/>
                <w:b w:val="0"/>
                <w:bCs/>
                <w:kern w:val="0"/>
                <w:sz w:val="20"/>
              </w:rPr>
              <w:t>就业困难</w:t>
            </w:r>
          </w:p>
        </w:tc>
        <w:tc>
          <w:tcPr>
            <w:tcW w:w="1417" w:type="dxa"/>
            <w:shd w:val="clear" w:color="auto" w:fill="E2EFD9" w:themeFill="accent6" w:themeFillTint="33"/>
            <w:noWrap/>
          </w:tcPr>
          <w:p w14:paraId="52465218">
            <w:pPr>
              <w:widowControl/>
              <w:jc w:val="center"/>
              <w:rPr>
                <w:rFonts w:hint="eastAsia" w:ascii="仿宋" w:hAnsi="仿宋" w:eastAsia="仿宋" w:cs="仿宋"/>
                <w:kern w:val="0"/>
                <w:sz w:val="20"/>
                <w:szCs w:val="21"/>
              </w:rPr>
            </w:pPr>
            <w:r>
              <w:rPr>
                <w:rFonts w:hint="eastAsia" w:ascii="仿宋" w:hAnsi="仿宋" w:eastAsia="仿宋" w:cs="仿宋"/>
                <w:kern w:val="0"/>
                <w:sz w:val="20"/>
                <w:szCs w:val="21"/>
              </w:rPr>
              <w:t>2</w:t>
            </w:r>
          </w:p>
        </w:tc>
        <w:tc>
          <w:tcPr>
            <w:tcW w:w="1418" w:type="dxa"/>
            <w:shd w:val="clear" w:color="auto" w:fill="E2EFD9" w:themeFill="accent6" w:themeFillTint="33"/>
          </w:tcPr>
          <w:p w14:paraId="2F9AEC0C">
            <w:pPr>
              <w:widowControl/>
              <w:jc w:val="center"/>
              <w:rPr>
                <w:rFonts w:hint="eastAsia" w:ascii="仿宋" w:hAnsi="仿宋" w:eastAsia="仿宋" w:cs="仿宋"/>
                <w:kern w:val="0"/>
                <w:sz w:val="20"/>
                <w:szCs w:val="21"/>
              </w:rPr>
            </w:pPr>
            <w:r>
              <w:rPr>
                <w:rFonts w:hint="eastAsia" w:ascii="仿宋" w:hAnsi="仿宋" w:eastAsia="仿宋" w:cs="仿宋"/>
                <w:kern w:val="0"/>
                <w:sz w:val="20"/>
                <w:szCs w:val="21"/>
              </w:rPr>
              <w:t>0.62%</w:t>
            </w:r>
          </w:p>
        </w:tc>
        <w:tc>
          <w:tcPr>
            <w:tcW w:w="1417" w:type="dxa"/>
            <w:shd w:val="clear" w:color="auto" w:fill="E2EFD9" w:themeFill="accent6" w:themeFillTint="33"/>
            <w:noWrap/>
          </w:tcPr>
          <w:p w14:paraId="0B3EA270">
            <w:pPr>
              <w:widowControl/>
              <w:jc w:val="center"/>
              <w:rPr>
                <w:rFonts w:hint="eastAsia" w:ascii="仿宋" w:hAnsi="仿宋" w:eastAsia="仿宋" w:cs="仿宋"/>
                <w:kern w:val="0"/>
                <w:sz w:val="20"/>
                <w:szCs w:val="21"/>
              </w:rPr>
            </w:pPr>
            <w:r>
              <w:rPr>
                <w:rFonts w:hint="eastAsia" w:ascii="仿宋" w:hAnsi="仿宋" w:eastAsia="仿宋" w:cs="仿宋"/>
                <w:kern w:val="0"/>
                <w:sz w:val="20"/>
                <w:szCs w:val="21"/>
              </w:rPr>
              <w:t>2</w:t>
            </w:r>
          </w:p>
        </w:tc>
        <w:tc>
          <w:tcPr>
            <w:tcW w:w="1418" w:type="dxa"/>
            <w:shd w:val="clear" w:color="auto" w:fill="E2EFD9" w:themeFill="accent6" w:themeFillTint="33"/>
            <w:noWrap/>
          </w:tcPr>
          <w:p w14:paraId="010132CC">
            <w:pPr>
              <w:widowControl/>
              <w:jc w:val="center"/>
              <w:rPr>
                <w:rFonts w:hint="eastAsia" w:ascii="仿宋" w:hAnsi="仿宋" w:eastAsia="仿宋" w:cs="仿宋"/>
                <w:kern w:val="0"/>
                <w:sz w:val="20"/>
                <w:szCs w:val="21"/>
              </w:rPr>
            </w:pPr>
            <w:r>
              <w:rPr>
                <w:rFonts w:hint="eastAsia" w:ascii="仿宋" w:hAnsi="仿宋" w:eastAsia="仿宋" w:cs="仿宋"/>
                <w:kern w:val="0"/>
                <w:sz w:val="20"/>
                <w:szCs w:val="21"/>
              </w:rPr>
              <w:t>100.00%</w:t>
            </w:r>
          </w:p>
        </w:tc>
      </w:tr>
      <w:tr w14:paraId="010B9F62">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70" w:hRule="atLeast"/>
        </w:trPr>
        <w:tc>
          <w:tcPr>
            <w:tcW w:w="2689" w:type="dxa"/>
            <w:shd w:val="clear" w:color="auto" w:fill="E2EFD9" w:themeFill="accent6" w:themeFillTint="33"/>
            <w:noWrap/>
          </w:tcPr>
          <w:p w14:paraId="237C46E8">
            <w:pPr>
              <w:widowControl/>
              <w:jc w:val="center"/>
              <w:rPr>
                <w:rFonts w:hint="eastAsia" w:ascii="仿宋" w:hAnsi="仿宋" w:eastAsia="仿宋" w:cs="仿宋"/>
                <w:b/>
                <w:bCs w:val="0"/>
                <w:kern w:val="0"/>
                <w:sz w:val="20"/>
              </w:rPr>
            </w:pPr>
            <w:r>
              <w:rPr>
                <w:rFonts w:hint="eastAsia" w:ascii="仿宋" w:hAnsi="仿宋" w:eastAsia="仿宋" w:cs="仿宋"/>
                <w:b w:val="0"/>
                <w:bCs/>
                <w:kern w:val="0"/>
                <w:sz w:val="20"/>
              </w:rPr>
              <w:t>家庭困难</w:t>
            </w:r>
          </w:p>
        </w:tc>
        <w:tc>
          <w:tcPr>
            <w:tcW w:w="1417" w:type="dxa"/>
            <w:shd w:val="clear" w:color="auto" w:fill="E2EFD9" w:themeFill="accent6" w:themeFillTint="33"/>
            <w:noWrap/>
          </w:tcPr>
          <w:p w14:paraId="7BA3E624">
            <w:pPr>
              <w:widowControl/>
              <w:jc w:val="center"/>
              <w:rPr>
                <w:rFonts w:hint="eastAsia" w:ascii="仿宋" w:hAnsi="仿宋" w:eastAsia="仿宋" w:cs="仿宋"/>
                <w:kern w:val="0"/>
                <w:sz w:val="20"/>
                <w:szCs w:val="21"/>
              </w:rPr>
            </w:pPr>
            <w:r>
              <w:rPr>
                <w:rFonts w:hint="eastAsia" w:ascii="仿宋" w:hAnsi="仿宋" w:eastAsia="仿宋" w:cs="仿宋"/>
                <w:kern w:val="0"/>
                <w:sz w:val="20"/>
                <w:szCs w:val="21"/>
              </w:rPr>
              <w:t>19</w:t>
            </w:r>
          </w:p>
        </w:tc>
        <w:tc>
          <w:tcPr>
            <w:tcW w:w="1418" w:type="dxa"/>
            <w:shd w:val="clear" w:color="auto" w:fill="E2EFD9" w:themeFill="accent6" w:themeFillTint="33"/>
          </w:tcPr>
          <w:p w14:paraId="13B092B4">
            <w:pPr>
              <w:widowControl/>
              <w:jc w:val="center"/>
              <w:rPr>
                <w:rFonts w:hint="eastAsia" w:ascii="仿宋" w:hAnsi="仿宋" w:eastAsia="仿宋" w:cs="仿宋"/>
                <w:kern w:val="0"/>
                <w:sz w:val="20"/>
                <w:szCs w:val="21"/>
              </w:rPr>
            </w:pPr>
            <w:r>
              <w:rPr>
                <w:rFonts w:hint="eastAsia" w:ascii="仿宋" w:hAnsi="仿宋" w:eastAsia="仿宋" w:cs="仿宋"/>
                <w:kern w:val="0"/>
                <w:sz w:val="20"/>
                <w:szCs w:val="21"/>
              </w:rPr>
              <w:t>5.88%</w:t>
            </w:r>
          </w:p>
        </w:tc>
        <w:tc>
          <w:tcPr>
            <w:tcW w:w="1417" w:type="dxa"/>
            <w:shd w:val="clear" w:color="auto" w:fill="E2EFD9" w:themeFill="accent6" w:themeFillTint="33"/>
            <w:noWrap/>
          </w:tcPr>
          <w:p w14:paraId="63FDF359">
            <w:pPr>
              <w:widowControl/>
              <w:jc w:val="center"/>
              <w:rPr>
                <w:rFonts w:hint="eastAsia" w:ascii="仿宋" w:hAnsi="仿宋" w:eastAsia="仿宋" w:cs="仿宋"/>
                <w:kern w:val="0"/>
                <w:sz w:val="20"/>
                <w:szCs w:val="21"/>
              </w:rPr>
            </w:pPr>
            <w:r>
              <w:rPr>
                <w:rFonts w:hint="eastAsia" w:ascii="仿宋" w:hAnsi="仿宋" w:eastAsia="仿宋" w:cs="仿宋"/>
                <w:kern w:val="0"/>
                <w:sz w:val="20"/>
                <w:szCs w:val="21"/>
              </w:rPr>
              <w:t>19</w:t>
            </w:r>
          </w:p>
        </w:tc>
        <w:tc>
          <w:tcPr>
            <w:tcW w:w="1418" w:type="dxa"/>
            <w:shd w:val="clear" w:color="auto" w:fill="E2EFD9" w:themeFill="accent6" w:themeFillTint="33"/>
            <w:noWrap/>
          </w:tcPr>
          <w:p w14:paraId="5A363E98">
            <w:pPr>
              <w:widowControl/>
              <w:jc w:val="center"/>
              <w:rPr>
                <w:rFonts w:hint="eastAsia" w:ascii="仿宋" w:hAnsi="仿宋" w:eastAsia="仿宋" w:cs="仿宋"/>
                <w:kern w:val="0"/>
                <w:sz w:val="20"/>
                <w:szCs w:val="21"/>
              </w:rPr>
            </w:pPr>
            <w:r>
              <w:rPr>
                <w:rFonts w:hint="eastAsia" w:ascii="仿宋" w:hAnsi="仿宋" w:eastAsia="仿宋" w:cs="仿宋"/>
                <w:kern w:val="0"/>
                <w:sz w:val="20"/>
                <w:szCs w:val="21"/>
              </w:rPr>
              <w:t>100.00%</w:t>
            </w:r>
          </w:p>
        </w:tc>
      </w:tr>
      <w:tr w14:paraId="360441F4">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70" w:hRule="atLeast"/>
        </w:trPr>
        <w:tc>
          <w:tcPr>
            <w:tcW w:w="2689" w:type="dxa"/>
            <w:shd w:val="clear" w:color="auto" w:fill="E2EFD9" w:themeFill="accent6" w:themeFillTint="33"/>
            <w:noWrap/>
          </w:tcPr>
          <w:p w14:paraId="03744305">
            <w:pPr>
              <w:widowControl/>
              <w:jc w:val="center"/>
              <w:rPr>
                <w:rFonts w:hint="eastAsia" w:ascii="仿宋" w:hAnsi="仿宋" w:eastAsia="仿宋" w:cs="仿宋"/>
                <w:b/>
                <w:bCs w:val="0"/>
                <w:kern w:val="0"/>
                <w:sz w:val="20"/>
              </w:rPr>
            </w:pPr>
            <w:r>
              <w:rPr>
                <w:rFonts w:hint="eastAsia" w:ascii="仿宋" w:hAnsi="仿宋" w:eastAsia="仿宋" w:cs="仿宋"/>
                <w:b w:val="0"/>
                <w:bCs/>
                <w:kern w:val="0"/>
                <w:sz w:val="20"/>
              </w:rPr>
              <w:t>就业困难和家庭困难</w:t>
            </w:r>
          </w:p>
        </w:tc>
        <w:tc>
          <w:tcPr>
            <w:tcW w:w="1417" w:type="dxa"/>
            <w:shd w:val="clear" w:color="auto" w:fill="E2EFD9" w:themeFill="accent6" w:themeFillTint="33"/>
            <w:noWrap/>
          </w:tcPr>
          <w:p w14:paraId="16ADB966">
            <w:pPr>
              <w:widowControl/>
              <w:jc w:val="center"/>
              <w:rPr>
                <w:rFonts w:hint="eastAsia" w:ascii="仿宋" w:hAnsi="仿宋" w:eastAsia="仿宋" w:cs="仿宋"/>
                <w:kern w:val="0"/>
                <w:sz w:val="20"/>
                <w:szCs w:val="21"/>
              </w:rPr>
            </w:pPr>
            <w:r>
              <w:rPr>
                <w:rFonts w:hint="eastAsia" w:ascii="仿宋" w:hAnsi="仿宋" w:eastAsia="仿宋" w:cs="仿宋"/>
                <w:kern w:val="0"/>
                <w:sz w:val="20"/>
                <w:szCs w:val="21"/>
              </w:rPr>
              <w:t>6</w:t>
            </w:r>
          </w:p>
        </w:tc>
        <w:tc>
          <w:tcPr>
            <w:tcW w:w="1418" w:type="dxa"/>
            <w:shd w:val="clear" w:color="auto" w:fill="E2EFD9" w:themeFill="accent6" w:themeFillTint="33"/>
          </w:tcPr>
          <w:p w14:paraId="2E76AAF4">
            <w:pPr>
              <w:widowControl/>
              <w:jc w:val="center"/>
              <w:rPr>
                <w:rFonts w:hint="eastAsia" w:ascii="仿宋" w:hAnsi="仿宋" w:eastAsia="仿宋" w:cs="仿宋"/>
                <w:kern w:val="0"/>
                <w:sz w:val="20"/>
                <w:szCs w:val="21"/>
              </w:rPr>
            </w:pPr>
            <w:r>
              <w:rPr>
                <w:rFonts w:hint="eastAsia" w:ascii="仿宋" w:hAnsi="仿宋" w:eastAsia="仿宋" w:cs="仿宋"/>
                <w:kern w:val="0"/>
                <w:sz w:val="20"/>
                <w:szCs w:val="21"/>
              </w:rPr>
              <w:t>1.86%</w:t>
            </w:r>
          </w:p>
        </w:tc>
        <w:tc>
          <w:tcPr>
            <w:tcW w:w="1417" w:type="dxa"/>
            <w:shd w:val="clear" w:color="auto" w:fill="E2EFD9" w:themeFill="accent6" w:themeFillTint="33"/>
            <w:noWrap/>
          </w:tcPr>
          <w:p w14:paraId="19720F26">
            <w:pPr>
              <w:widowControl/>
              <w:jc w:val="center"/>
              <w:rPr>
                <w:rFonts w:hint="eastAsia" w:ascii="仿宋" w:hAnsi="仿宋" w:eastAsia="仿宋" w:cs="仿宋"/>
                <w:kern w:val="0"/>
                <w:sz w:val="20"/>
                <w:szCs w:val="21"/>
              </w:rPr>
            </w:pPr>
            <w:r>
              <w:rPr>
                <w:rFonts w:hint="eastAsia" w:ascii="仿宋" w:hAnsi="仿宋" w:eastAsia="仿宋" w:cs="仿宋"/>
                <w:kern w:val="0"/>
                <w:sz w:val="20"/>
                <w:szCs w:val="21"/>
              </w:rPr>
              <w:t>6</w:t>
            </w:r>
          </w:p>
        </w:tc>
        <w:tc>
          <w:tcPr>
            <w:tcW w:w="1418" w:type="dxa"/>
            <w:shd w:val="clear" w:color="auto" w:fill="E2EFD9" w:themeFill="accent6" w:themeFillTint="33"/>
            <w:noWrap/>
          </w:tcPr>
          <w:p w14:paraId="4B4FDE36">
            <w:pPr>
              <w:widowControl/>
              <w:jc w:val="center"/>
              <w:rPr>
                <w:rFonts w:hint="eastAsia" w:ascii="仿宋" w:hAnsi="仿宋" w:eastAsia="仿宋" w:cs="仿宋"/>
                <w:kern w:val="0"/>
                <w:sz w:val="20"/>
                <w:szCs w:val="21"/>
              </w:rPr>
            </w:pPr>
            <w:r>
              <w:rPr>
                <w:rFonts w:hint="eastAsia" w:ascii="仿宋" w:hAnsi="仿宋" w:eastAsia="仿宋" w:cs="仿宋"/>
                <w:kern w:val="0"/>
                <w:sz w:val="20"/>
                <w:szCs w:val="21"/>
              </w:rPr>
              <w:t>100.00%</w:t>
            </w:r>
          </w:p>
        </w:tc>
      </w:tr>
      <w:tr w14:paraId="637BBF6E">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70" w:hRule="atLeast"/>
        </w:trPr>
        <w:tc>
          <w:tcPr>
            <w:tcW w:w="2689" w:type="dxa"/>
            <w:shd w:val="clear" w:color="auto" w:fill="E2EFD9" w:themeFill="accent6" w:themeFillTint="33"/>
            <w:noWrap/>
          </w:tcPr>
          <w:p w14:paraId="34F14B74">
            <w:pPr>
              <w:widowControl/>
              <w:jc w:val="center"/>
              <w:rPr>
                <w:rFonts w:hint="eastAsia" w:ascii="仿宋" w:hAnsi="仿宋" w:eastAsia="仿宋" w:cs="仿宋"/>
                <w:b/>
                <w:bCs w:val="0"/>
                <w:kern w:val="0"/>
                <w:sz w:val="20"/>
              </w:rPr>
            </w:pPr>
            <w:r>
              <w:rPr>
                <w:rFonts w:hint="eastAsia" w:ascii="仿宋" w:hAnsi="仿宋" w:eastAsia="仿宋" w:cs="仿宋"/>
                <w:b w:val="0"/>
                <w:bCs/>
                <w:kern w:val="0"/>
                <w:sz w:val="20"/>
              </w:rPr>
              <w:t>残疾</w:t>
            </w:r>
          </w:p>
        </w:tc>
        <w:tc>
          <w:tcPr>
            <w:tcW w:w="1417" w:type="dxa"/>
            <w:shd w:val="clear" w:color="auto" w:fill="E2EFD9" w:themeFill="accent6" w:themeFillTint="33"/>
            <w:noWrap/>
          </w:tcPr>
          <w:p w14:paraId="0643655E">
            <w:pPr>
              <w:widowControl/>
              <w:jc w:val="center"/>
              <w:rPr>
                <w:rFonts w:hint="eastAsia" w:ascii="仿宋" w:hAnsi="仿宋" w:eastAsia="仿宋" w:cs="仿宋"/>
                <w:kern w:val="0"/>
                <w:sz w:val="20"/>
                <w:szCs w:val="21"/>
              </w:rPr>
            </w:pPr>
            <w:r>
              <w:rPr>
                <w:rFonts w:hint="eastAsia" w:ascii="仿宋" w:hAnsi="仿宋" w:eastAsia="仿宋" w:cs="仿宋"/>
                <w:kern w:val="0"/>
                <w:sz w:val="20"/>
                <w:szCs w:val="21"/>
              </w:rPr>
              <w:t>2</w:t>
            </w:r>
          </w:p>
        </w:tc>
        <w:tc>
          <w:tcPr>
            <w:tcW w:w="1418" w:type="dxa"/>
            <w:shd w:val="clear" w:color="auto" w:fill="E2EFD9" w:themeFill="accent6" w:themeFillTint="33"/>
          </w:tcPr>
          <w:p w14:paraId="0CCB81A9">
            <w:pPr>
              <w:widowControl/>
              <w:jc w:val="center"/>
              <w:rPr>
                <w:rFonts w:hint="eastAsia" w:ascii="仿宋" w:hAnsi="仿宋" w:eastAsia="仿宋" w:cs="仿宋"/>
                <w:kern w:val="0"/>
                <w:sz w:val="20"/>
                <w:szCs w:val="21"/>
              </w:rPr>
            </w:pPr>
            <w:r>
              <w:rPr>
                <w:rFonts w:hint="eastAsia" w:ascii="仿宋" w:hAnsi="仿宋" w:eastAsia="仿宋" w:cs="仿宋"/>
                <w:kern w:val="0"/>
                <w:sz w:val="20"/>
                <w:szCs w:val="21"/>
              </w:rPr>
              <w:t>0.62%</w:t>
            </w:r>
          </w:p>
        </w:tc>
        <w:tc>
          <w:tcPr>
            <w:tcW w:w="1417" w:type="dxa"/>
            <w:shd w:val="clear" w:color="auto" w:fill="E2EFD9" w:themeFill="accent6" w:themeFillTint="33"/>
            <w:noWrap/>
          </w:tcPr>
          <w:p w14:paraId="287287EE">
            <w:pPr>
              <w:widowControl/>
              <w:jc w:val="center"/>
              <w:rPr>
                <w:rFonts w:hint="eastAsia" w:ascii="仿宋" w:hAnsi="仿宋" w:eastAsia="仿宋" w:cs="仿宋"/>
                <w:kern w:val="0"/>
                <w:sz w:val="20"/>
                <w:szCs w:val="21"/>
              </w:rPr>
            </w:pPr>
            <w:r>
              <w:rPr>
                <w:rFonts w:hint="eastAsia" w:ascii="仿宋" w:hAnsi="仿宋" w:eastAsia="仿宋" w:cs="仿宋"/>
                <w:kern w:val="0"/>
                <w:sz w:val="20"/>
                <w:szCs w:val="21"/>
              </w:rPr>
              <w:t>2</w:t>
            </w:r>
          </w:p>
        </w:tc>
        <w:tc>
          <w:tcPr>
            <w:tcW w:w="1418" w:type="dxa"/>
            <w:shd w:val="clear" w:color="auto" w:fill="E2EFD9" w:themeFill="accent6" w:themeFillTint="33"/>
            <w:noWrap/>
          </w:tcPr>
          <w:p w14:paraId="1ABEE4A9">
            <w:pPr>
              <w:widowControl/>
              <w:jc w:val="center"/>
              <w:rPr>
                <w:rFonts w:hint="eastAsia" w:ascii="仿宋" w:hAnsi="仿宋" w:eastAsia="仿宋" w:cs="仿宋"/>
                <w:kern w:val="0"/>
                <w:sz w:val="20"/>
                <w:szCs w:val="21"/>
              </w:rPr>
            </w:pPr>
            <w:r>
              <w:rPr>
                <w:rFonts w:hint="eastAsia" w:ascii="仿宋" w:hAnsi="仿宋" w:eastAsia="仿宋" w:cs="仿宋"/>
                <w:kern w:val="0"/>
                <w:sz w:val="20"/>
                <w:szCs w:val="21"/>
              </w:rPr>
              <w:t>100.00%</w:t>
            </w:r>
          </w:p>
        </w:tc>
      </w:tr>
      <w:tr w14:paraId="3384284D">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70" w:hRule="atLeast"/>
        </w:trPr>
        <w:tc>
          <w:tcPr>
            <w:tcW w:w="2689" w:type="dxa"/>
            <w:shd w:val="clear" w:color="auto" w:fill="E2EFD9" w:themeFill="accent6" w:themeFillTint="33"/>
            <w:noWrap/>
          </w:tcPr>
          <w:p w14:paraId="2F6DCAEC">
            <w:pPr>
              <w:widowControl/>
              <w:jc w:val="center"/>
              <w:rPr>
                <w:rFonts w:hint="eastAsia" w:ascii="仿宋" w:hAnsi="仿宋" w:eastAsia="仿宋" w:cs="仿宋"/>
                <w:b/>
                <w:bCs w:val="0"/>
                <w:kern w:val="0"/>
                <w:sz w:val="20"/>
              </w:rPr>
            </w:pPr>
            <w:r>
              <w:rPr>
                <w:rFonts w:hint="eastAsia" w:ascii="仿宋" w:hAnsi="仿宋" w:eastAsia="仿宋" w:cs="仿宋"/>
                <w:b w:val="0"/>
                <w:bCs/>
                <w:kern w:val="0"/>
                <w:sz w:val="20"/>
              </w:rPr>
              <w:t>家庭困难和残疾</w:t>
            </w:r>
          </w:p>
        </w:tc>
        <w:tc>
          <w:tcPr>
            <w:tcW w:w="1417" w:type="dxa"/>
            <w:shd w:val="clear" w:color="auto" w:fill="E2EFD9" w:themeFill="accent6" w:themeFillTint="33"/>
            <w:noWrap/>
          </w:tcPr>
          <w:p w14:paraId="046172BC">
            <w:pPr>
              <w:widowControl/>
              <w:jc w:val="center"/>
              <w:rPr>
                <w:rFonts w:hint="eastAsia" w:ascii="仿宋" w:hAnsi="仿宋" w:eastAsia="仿宋" w:cs="仿宋"/>
                <w:kern w:val="0"/>
                <w:sz w:val="20"/>
                <w:szCs w:val="21"/>
              </w:rPr>
            </w:pPr>
            <w:r>
              <w:rPr>
                <w:rFonts w:hint="eastAsia" w:ascii="仿宋" w:hAnsi="仿宋" w:eastAsia="仿宋" w:cs="仿宋"/>
                <w:kern w:val="0"/>
                <w:sz w:val="20"/>
                <w:szCs w:val="21"/>
              </w:rPr>
              <w:t>1</w:t>
            </w:r>
          </w:p>
        </w:tc>
        <w:tc>
          <w:tcPr>
            <w:tcW w:w="1418" w:type="dxa"/>
            <w:shd w:val="clear" w:color="auto" w:fill="E2EFD9" w:themeFill="accent6" w:themeFillTint="33"/>
          </w:tcPr>
          <w:p w14:paraId="137A321D">
            <w:pPr>
              <w:widowControl/>
              <w:jc w:val="center"/>
              <w:rPr>
                <w:rFonts w:hint="eastAsia" w:ascii="仿宋" w:hAnsi="仿宋" w:eastAsia="仿宋" w:cs="仿宋"/>
                <w:kern w:val="0"/>
                <w:sz w:val="20"/>
                <w:szCs w:val="21"/>
              </w:rPr>
            </w:pPr>
            <w:r>
              <w:rPr>
                <w:rFonts w:hint="eastAsia" w:ascii="仿宋" w:hAnsi="仿宋" w:eastAsia="仿宋" w:cs="仿宋"/>
                <w:kern w:val="0"/>
                <w:sz w:val="20"/>
                <w:szCs w:val="21"/>
              </w:rPr>
              <w:t>0.31%</w:t>
            </w:r>
          </w:p>
        </w:tc>
        <w:tc>
          <w:tcPr>
            <w:tcW w:w="1417" w:type="dxa"/>
            <w:shd w:val="clear" w:color="auto" w:fill="E2EFD9" w:themeFill="accent6" w:themeFillTint="33"/>
            <w:noWrap/>
          </w:tcPr>
          <w:p w14:paraId="5A2A15A5">
            <w:pPr>
              <w:widowControl/>
              <w:jc w:val="center"/>
              <w:rPr>
                <w:rFonts w:hint="eastAsia" w:ascii="仿宋" w:hAnsi="仿宋" w:eastAsia="仿宋" w:cs="仿宋"/>
                <w:kern w:val="0"/>
                <w:sz w:val="20"/>
                <w:szCs w:val="21"/>
              </w:rPr>
            </w:pPr>
            <w:r>
              <w:rPr>
                <w:rFonts w:hint="eastAsia" w:ascii="仿宋" w:hAnsi="仿宋" w:eastAsia="仿宋" w:cs="仿宋"/>
                <w:kern w:val="0"/>
                <w:sz w:val="20"/>
                <w:szCs w:val="21"/>
              </w:rPr>
              <w:t>1</w:t>
            </w:r>
          </w:p>
        </w:tc>
        <w:tc>
          <w:tcPr>
            <w:tcW w:w="1418" w:type="dxa"/>
            <w:shd w:val="clear" w:color="auto" w:fill="E2EFD9" w:themeFill="accent6" w:themeFillTint="33"/>
            <w:noWrap/>
          </w:tcPr>
          <w:p w14:paraId="0C60AFF5">
            <w:pPr>
              <w:widowControl/>
              <w:jc w:val="center"/>
              <w:rPr>
                <w:rFonts w:hint="eastAsia" w:ascii="仿宋" w:hAnsi="仿宋" w:eastAsia="仿宋" w:cs="仿宋"/>
                <w:kern w:val="0"/>
                <w:sz w:val="20"/>
                <w:szCs w:val="21"/>
              </w:rPr>
            </w:pPr>
            <w:r>
              <w:rPr>
                <w:rFonts w:hint="eastAsia" w:ascii="仿宋" w:hAnsi="仿宋" w:eastAsia="仿宋" w:cs="仿宋"/>
                <w:kern w:val="0"/>
                <w:sz w:val="20"/>
                <w:szCs w:val="21"/>
              </w:rPr>
              <w:t>100.00%</w:t>
            </w:r>
          </w:p>
        </w:tc>
      </w:tr>
      <w:tr w14:paraId="60567407">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70" w:hRule="atLeast"/>
        </w:trPr>
        <w:tc>
          <w:tcPr>
            <w:tcW w:w="2689" w:type="dxa"/>
            <w:shd w:val="clear" w:color="auto" w:fill="E2EFD9" w:themeFill="accent6" w:themeFillTint="33"/>
            <w:noWrap/>
          </w:tcPr>
          <w:p w14:paraId="1EA9BA1E">
            <w:pPr>
              <w:widowControl/>
              <w:jc w:val="center"/>
              <w:rPr>
                <w:rFonts w:hint="eastAsia" w:ascii="仿宋" w:hAnsi="仿宋" w:eastAsia="仿宋" w:cs="仿宋"/>
                <w:b/>
                <w:bCs w:val="0"/>
                <w:kern w:val="0"/>
                <w:sz w:val="20"/>
              </w:rPr>
            </w:pPr>
            <w:r>
              <w:rPr>
                <w:rFonts w:hint="eastAsia" w:ascii="仿宋" w:hAnsi="仿宋" w:eastAsia="仿宋" w:cs="仿宋"/>
                <w:b w:val="0"/>
                <w:bCs/>
                <w:kern w:val="0"/>
                <w:sz w:val="20"/>
              </w:rPr>
              <w:t>就业困难、家庭困难和残疾</w:t>
            </w:r>
          </w:p>
        </w:tc>
        <w:tc>
          <w:tcPr>
            <w:tcW w:w="1417" w:type="dxa"/>
            <w:shd w:val="clear" w:color="auto" w:fill="E2EFD9" w:themeFill="accent6" w:themeFillTint="33"/>
            <w:noWrap/>
          </w:tcPr>
          <w:p w14:paraId="6497DB19">
            <w:pPr>
              <w:widowControl/>
              <w:jc w:val="center"/>
              <w:rPr>
                <w:rFonts w:hint="eastAsia" w:ascii="仿宋" w:hAnsi="仿宋" w:eastAsia="仿宋" w:cs="仿宋"/>
                <w:kern w:val="0"/>
                <w:sz w:val="20"/>
                <w:szCs w:val="21"/>
              </w:rPr>
            </w:pPr>
            <w:r>
              <w:rPr>
                <w:rFonts w:hint="eastAsia" w:ascii="仿宋" w:hAnsi="仿宋" w:eastAsia="仿宋" w:cs="仿宋"/>
                <w:kern w:val="0"/>
                <w:sz w:val="20"/>
                <w:szCs w:val="21"/>
              </w:rPr>
              <w:t>1</w:t>
            </w:r>
          </w:p>
        </w:tc>
        <w:tc>
          <w:tcPr>
            <w:tcW w:w="1418" w:type="dxa"/>
            <w:shd w:val="clear" w:color="auto" w:fill="E2EFD9" w:themeFill="accent6" w:themeFillTint="33"/>
          </w:tcPr>
          <w:p w14:paraId="5039609A">
            <w:pPr>
              <w:widowControl/>
              <w:jc w:val="center"/>
              <w:rPr>
                <w:rFonts w:hint="eastAsia" w:ascii="仿宋" w:hAnsi="仿宋" w:eastAsia="仿宋" w:cs="仿宋"/>
                <w:kern w:val="0"/>
                <w:sz w:val="20"/>
                <w:szCs w:val="21"/>
              </w:rPr>
            </w:pPr>
            <w:r>
              <w:rPr>
                <w:rFonts w:hint="eastAsia" w:ascii="仿宋" w:hAnsi="仿宋" w:eastAsia="仿宋" w:cs="仿宋"/>
                <w:kern w:val="0"/>
                <w:sz w:val="20"/>
                <w:szCs w:val="21"/>
              </w:rPr>
              <w:t>0.31%</w:t>
            </w:r>
          </w:p>
        </w:tc>
        <w:tc>
          <w:tcPr>
            <w:tcW w:w="1417" w:type="dxa"/>
            <w:shd w:val="clear" w:color="auto" w:fill="E2EFD9" w:themeFill="accent6" w:themeFillTint="33"/>
            <w:noWrap/>
          </w:tcPr>
          <w:p w14:paraId="5FD0C9F3">
            <w:pPr>
              <w:widowControl/>
              <w:jc w:val="center"/>
              <w:rPr>
                <w:rFonts w:hint="eastAsia" w:ascii="仿宋" w:hAnsi="仿宋" w:eastAsia="仿宋" w:cs="仿宋"/>
                <w:kern w:val="0"/>
                <w:sz w:val="20"/>
                <w:szCs w:val="21"/>
              </w:rPr>
            </w:pPr>
            <w:r>
              <w:rPr>
                <w:rFonts w:hint="eastAsia" w:ascii="仿宋" w:hAnsi="仿宋" w:eastAsia="仿宋" w:cs="仿宋"/>
                <w:kern w:val="0"/>
                <w:sz w:val="20"/>
                <w:szCs w:val="21"/>
              </w:rPr>
              <w:t>1</w:t>
            </w:r>
          </w:p>
        </w:tc>
        <w:tc>
          <w:tcPr>
            <w:tcW w:w="1418" w:type="dxa"/>
            <w:shd w:val="clear" w:color="auto" w:fill="E2EFD9" w:themeFill="accent6" w:themeFillTint="33"/>
            <w:noWrap/>
          </w:tcPr>
          <w:p w14:paraId="7776297A">
            <w:pPr>
              <w:widowControl/>
              <w:jc w:val="center"/>
              <w:rPr>
                <w:rFonts w:hint="eastAsia" w:ascii="仿宋" w:hAnsi="仿宋" w:eastAsia="仿宋" w:cs="仿宋"/>
                <w:kern w:val="0"/>
                <w:sz w:val="20"/>
                <w:szCs w:val="21"/>
              </w:rPr>
            </w:pPr>
            <w:r>
              <w:rPr>
                <w:rFonts w:hint="eastAsia" w:ascii="仿宋" w:hAnsi="仿宋" w:eastAsia="仿宋" w:cs="仿宋"/>
                <w:kern w:val="0"/>
                <w:sz w:val="20"/>
                <w:szCs w:val="21"/>
              </w:rPr>
              <w:t>100.00%</w:t>
            </w:r>
          </w:p>
        </w:tc>
      </w:tr>
      <w:tr w14:paraId="790D7A26">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70" w:hRule="atLeast"/>
        </w:trPr>
        <w:tc>
          <w:tcPr>
            <w:tcW w:w="2689" w:type="dxa"/>
            <w:shd w:val="clear" w:color="auto" w:fill="E2EFD9" w:themeFill="accent6" w:themeFillTint="33"/>
            <w:noWrap/>
          </w:tcPr>
          <w:p w14:paraId="64AEBF18">
            <w:pPr>
              <w:widowControl/>
              <w:jc w:val="center"/>
              <w:rPr>
                <w:rFonts w:hint="eastAsia" w:ascii="仿宋" w:hAnsi="仿宋" w:eastAsia="仿宋" w:cs="仿宋"/>
                <w:b/>
                <w:bCs w:val="0"/>
                <w:kern w:val="0"/>
                <w:sz w:val="20"/>
              </w:rPr>
            </w:pPr>
            <w:r>
              <w:rPr>
                <w:rFonts w:hint="eastAsia" w:ascii="仿宋" w:hAnsi="仿宋" w:eastAsia="仿宋" w:cs="仿宋"/>
                <w:b w:val="0"/>
                <w:bCs/>
                <w:kern w:val="0"/>
                <w:sz w:val="20"/>
              </w:rPr>
              <w:t>合计</w:t>
            </w:r>
          </w:p>
        </w:tc>
        <w:tc>
          <w:tcPr>
            <w:tcW w:w="1417" w:type="dxa"/>
            <w:shd w:val="clear" w:color="auto" w:fill="E2EFD9" w:themeFill="accent6" w:themeFillTint="33"/>
            <w:noWrap/>
          </w:tcPr>
          <w:p w14:paraId="0526978A">
            <w:pPr>
              <w:widowControl/>
              <w:jc w:val="center"/>
              <w:rPr>
                <w:rFonts w:hint="eastAsia" w:ascii="仿宋" w:hAnsi="仿宋" w:eastAsia="仿宋" w:cs="仿宋"/>
                <w:kern w:val="0"/>
                <w:sz w:val="20"/>
                <w:szCs w:val="21"/>
              </w:rPr>
            </w:pPr>
            <w:r>
              <w:rPr>
                <w:rFonts w:hint="eastAsia" w:ascii="仿宋" w:hAnsi="仿宋" w:eastAsia="仿宋" w:cs="仿宋"/>
                <w:kern w:val="0"/>
                <w:sz w:val="20"/>
                <w:szCs w:val="21"/>
              </w:rPr>
              <w:t>323</w:t>
            </w:r>
          </w:p>
        </w:tc>
        <w:tc>
          <w:tcPr>
            <w:tcW w:w="1418" w:type="dxa"/>
            <w:shd w:val="clear" w:color="auto" w:fill="E2EFD9" w:themeFill="accent6" w:themeFillTint="33"/>
          </w:tcPr>
          <w:p w14:paraId="2840F6C4">
            <w:pPr>
              <w:widowControl/>
              <w:jc w:val="center"/>
              <w:rPr>
                <w:rFonts w:hint="eastAsia" w:ascii="仿宋" w:hAnsi="仿宋" w:eastAsia="仿宋" w:cs="仿宋"/>
                <w:kern w:val="0"/>
                <w:sz w:val="20"/>
                <w:szCs w:val="21"/>
              </w:rPr>
            </w:pPr>
            <w:r>
              <w:rPr>
                <w:rFonts w:hint="eastAsia" w:ascii="仿宋" w:hAnsi="仿宋" w:eastAsia="仿宋" w:cs="仿宋"/>
                <w:kern w:val="0"/>
                <w:sz w:val="20"/>
                <w:szCs w:val="21"/>
              </w:rPr>
              <w:t>100%</w:t>
            </w:r>
          </w:p>
        </w:tc>
        <w:tc>
          <w:tcPr>
            <w:tcW w:w="1417" w:type="dxa"/>
            <w:shd w:val="clear" w:color="auto" w:fill="E2EFD9" w:themeFill="accent6" w:themeFillTint="33"/>
            <w:noWrap/>
          </w:tcPr>
          <w:p w14:paraId="61AAB6A7">
            <w:pPr>
              <w:widowControl/>
              <w:jc w:val="center"/>
              <w:rPr>
                <w:rFonts w:hint="eastAsia" w:ascii="仿宋" w:hAnsi="仿宋" w:eastAsia="仿宋" w:cs="仿宋"/>
                <w:kern w:val="0"/>
                <w:sz w:val="20"/>
                <w:szCs w:val="21"/>
                <w:lang w:val="en-US" w:eastAsia="zh-CN"/>
              </w:rPr>
            </w:pPr>
            <w:r>
              <w:rPr>
                <w:rFonts w:hint="eastAsia" w:ascii="仿宋" w:hAnsi="仿宋" w:eastAsia="仿宋" w:cs="仿宋"/>
                <w:kern w:val="0"/>
                <w:sz w:val="20"/>
                <w:szCs w:val="21"/>
              </w:rPr>
              <w:t>31</w:t>
            </w:r>
            <w:r>
              <w:rPr>
                <w:rFonts w:hint="eastAsia" w:ascii="仿宋" w:hAnsi="仿宋" w:eastAsia="仿宋" w:cs="仿宋"/>
                <w:kern w:val="0"/>
                <w:sz w:val="20"/>
                <w:szCs w:val="21"/>
                <w:lang w:val="en-US" w:eastAsia="zh-CN"/>
              </w:rPr>
              <w:t>9</w:t>
            </w:r>
          </w:p>
        </w:tc>
        <w:tc>
          <w:tcPr>
            <w:tcW w:w="1418" w:type="dxa"/>
            <w:shd w:val="clear" w:color="auto" w:fill="E2EFD9" w:themeFill="accent6" w:themeFillTint="33"/>
            <w:noWrap/>
          </w:tcPr>
          <w:p w14:paraId="4C77006F">
            <w:pPr>
              <w:widowControl/>
              <w:jc w:val="center"/>
              <w:rPr>
                <w:rFonts w:hint="eastAsia" w:ascii="仿宋" w:hAnsi="仿宋" w:eastAsia="仿宋" w:cs="仿宋"/>
                <w:kern w:val="0"/>
                <w:sz w:val="20"/>
                <w:szCs w:val="21"/>
              </w:rPr>
            </w:pPr>
            <w:r>
              <w:rPr>
                <w:rFonts w:hint="eastAsia" w:ascii="仿宋" w:hAnsi="仿宋" w:eastAsia="仿宋" w:cs="仿宋"/>
                <w:kern w:val="0"/>
                <w:sz w:val="20"/>
                <w:szCs w:val="21"/>
                <w:lang w:val="en-US" w:eastAsia="zh-CN"/>
              </w:rPr>
              <w:t>98.76</w:t>
            </w:r>
            <w:r>
              <w:rPr>
                <w:rFonts w:hint="eastAsia" w:ascii="仿宋" w:hAnsi="仿宋" w:eastAsia="仿宋" w:cs="仿宋"/>
                <w:kern w:val="0"/>
                <w:sz w:val="20"/>
                <w:szCs w:val="21"/>
              </w:rPr>
              <w:t>%</w:t>
            </w:r>
          </w:p>
        </w:tc>
      </w:tr>
    </w:tbl>
    <w:p w14:paraId="013C4239">
      <w:pPr>
        <w:pStyle w:val="3"/>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7.毕业生各</w:t>
      </w:r>
      <w:r>
        <w:rPr>
          <w:rFonts w:hint="eastAsia" w:ascii="仿宋" w:hAnsi="仿宋" w:eastAsia="仿宋" w:cs="仿宋"/>
          <w:sz w:val="32"/>
          <w:szCs w:val="32"/>
        </w:rPr>
        <w:t>院系就业情况</w:t>
      </w:r>
    </w:p>
    <w:p w14:paraId="2DEB3B9F">
      <w:pPr>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zh-CN"/>
        </w:rPr>
        <w:t>学校</w:t>
      </w:r>
      <w:r>
        <w:rPr>
          <w:rFonts w:hint="eastAsia" w:ascii="仿宋" w:hAnsi="仿宋" w:eastAsia="仿宋" w:cs="仿宋"/>
          <w:sz w:val="32"/>
          <w:szCs w:val="32"/>
        </w:rPr>
        <w:t>2024</w:t>
      </w:r>
      <w:r>
        <w:rPr>
          <w:rFonts w:hint="eastAsia" w:ascii="仿宋" w:hAnsi="仿宋" w:eastAsia="仿宋" w:cs="仿宋"/>
          <w:sz w:val="32"/>
          <w:szCs w:val="32"/>
          <w:lang w:val="zh-CN"/>
        </w:rPr>
        <w:t>届毕业生分院系来看</w:t>
      </w:r>
      <w:r>
        <w:rPr>
          <w:rFonts w:hint="eastAsia" w:ascii="仿宋" w:hAnsi="仿宋" w:eastAsia="仿宋" w:cs="仿宋"/>
          <w:sz w:val="32"/>
          <w:szCs w:val="32"/>
        </w:rPr>
        <w:t>，落实率</w:t>
      </w:r>
      <w:r>
        <w:rPr>
          <w:rFonts w:hint="eastAsia" w:ascii="仿宋" w:hAnsi="仿宋" w:eastAsia="仿宋" w:cs="仿宋"/>
          <w:sz w:val="32"/>
          <w:szCs w:val="32"/>
          <w:lang w:val="zh-CN"/>
        </w:rPr>
        <w:t>最高的是</w:t>
      </w:r>
      <w:r>
        <w:rPr>
          <w:rFonts w:hint="eastAsia" w:ascii="仿宋" w:hAnsi="仿宋" w:eastAsia="仿宋" w:cs="仿宋"/>
          <w:sz w:val="32"/>
          <w:szCs w:val="32"/>
        </w:rPr>
        <w:t>空乘与高铁管理学院、计算机电子商务学院</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绘画与设计学院</w:t>
      </w:r>
      <w:r>
        <w:rPr>
          <w:rFonts w:hint="eastAsia" w:ascii="仿宋" w:hAnsi="仿宋" w:eastAsia="仿宋" w:cs="仿宋"/>
          <w:sz w:val="32"/>
          <w:szCs w:val="32"/>
        </w:rPr>
        <w:t>，落实率</w:t>
      </w:r>
      <w:r>
        <w:rPr>
          <w:rFonts w:hint="eastAsia" w:ascii="仿宋" w:hAnsi="仿宋" w:eastAsia="仿宋" w:cs="仿宋"/>
          <w:sz w:val="32"/>
          <w:szCs w:val="32"/>
          <w:lang w:val="zh-CN"/>
        </w:rPr>
        <w:t>为</w:t>
      </w:r>
      <w:r>
        <w:rPr>
          <w:rFonts w:hint="eastAsia" w:ascii="仿宋" w:hAnsi="仿宋" w:eastAsia="仿宋" w:cs="仿宋"/>
          <w:sz w:val="32"/>
          <w:szCs w:val="32"/>
        </w:rPr>
        <w:t>100%</w:t>
      </w:r>
      <w:r>
        <w:rPr>
          <w:rFonts w:hint="eastAsia" w:ascii="仿宋" w:hAnsi="仿宋" w:eastAsia="仿宋" w:cs="仿宋"/>
          <w:sz w:val="32"/>
          <w:szCs w:val="32"/>
          <w:lang w:val="zh-CN"/>
        </w:rPr>
        <w:t>。</w:t>
      </w:r>
      <w:r>
        <w:rPr>
          <w:rFonts w:hint="eastAsia" w:ascii="仿宋" w:hAnsi="仿宋" w:eastAsia="仿宋" w:cs="仿宋"/>
          <w:sz w:val="32"/>
          <w:szCs w:val="32"/>
        </w:rPr>
        <w:t>详见下表。</w:t>
      </w:r>
    </w:p>
    <w:tbl>
      <w:tblPr>
        <w:tblStyle w:val="27"/>
        <w:tblW w:w="8359" w:type="dxa"/>
        <w:tblInd w:w="0" w:type="dxa"/>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Layout w:type="autofit"/>
        <w:tblCellMar>
          <w:top w:w="0" w:type="dxa"/>
          <w:left w:w="108" w:type="dxa"/>
          <w:bottom w:w="0" w:type="dxa"/>
          <w:right w:w="108" w:type="dxa"/>
        </w:tblCellMar>
      </w:tblPr>
      <w:tblGrid>
        <w:gridCol w:w="2689"/>
        <w:gridCol w:w="1417"/>
        <w:gridCol w:w="1418"/>
        <w:gridCol w:w="1417"/>
        <w:gridCol w:w="1418"/>
      </w:tblGrid>
      <w:tr w14:paraId="0629CC96">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70" w:hRule="atLeast"/>
        </w:trPr>
        <w:tc>
          <w:tcPr>
            <w:tcW w:w="2689" w:type="dxa"/>
            <w:tcBorders>
              <w:top w:val="single" w:color="70AD47" w:themeColor="accent6" w:sz="4" w:space="0"/>
              <w:left w:val="single" w:color="70AD47" w:themeColor="accent6" w:sz="4" w:space="0"/>
              <w:bottom w:val="single" w:color="70AD47" w:themeColor="accent6" w:sz="4" w:space="0"/>
              <w:right w:val="nil"/>
              <w:insideH w:val="single" w:sz="4" w:space="0"/>
              <w:insideV w:val="nil"/>
            </w:tcBorders>
            <w:shd w:val="clear" w:color="auto" w:fill="70AD47" w:themeFill="accent6"/>
            <w:noWrap/>
          </w:tcPr>
          <w:p w14:paraId="18EADEAF">
            <w:pPr>
              <w:widowControl/>
              <w:jc w:val="center"/>
              <w:rPr>
                <w:rFonts w:hint="eastAsia" w:ascii="仿宋" w:hAnsi="仿宋" w:eastAsia="仿宋" w:cs="仿宋"/>
                <w:b w:val="0"/>
                <w:bCs w:val="0"/>
                <w:color w:val="FFFFFF" w:themeColor="background1"/>
                <w:kern w:val="0"/>
                <w:sz w:val="20"/>
                <w14:textFill>
                  <w14:solidFill>
                    <w14:schemeClr w14:val="bg1"/>
                  </w14:solidFill>
                </w14:textFill>
              </w:rPr>
            </w:pPr>
            <w:r>
              <w:rPr>
                <w:rFonts w:hint="eastAsia" w:ascii="仿宋" w:hAnsi="仿宋" w:eastAsia="仿宋" w:cs="仿宋"/>
                <w:b/>
                <w:bCs/>
                <w:color w:val="auto"/>
                <w:kern w:val="0"/>
                <w:sz w:val="20"/>
              </w:rPr>
              <w:t>学院</w:t>
            </w:r>
          </w:p>
        </w:tc>
        <w:tc>
          <w:tcPr>
            <w:tcW w:w="1417" w:type="dxa"/>
            <w:tcBorders>
              <w:top w:val="single" w:color="70AD47" w:themeColor="accent6" w:sz="4" w:space="0"/>
              <w:bottom w:val="single" w:color="70AD47" w:themeColor="accent6" w:sz="4" w:space="0"/>
              <w:right w:val="nil"/>
              <w:insideH w:val="single" w:sz="4" w:space="0"/>
              <w:insideV w:val="nil"/>
            </w:tcBorders>
            <w:shd w:val="clear" w:color="auto" w:fill="70AD47" w:themeFill="accent6"/>
            <w:noWrap/>
          </w:tcPr>
          <w:p w14:paraId="6941628F">
            <w:pPr>
              <w:widowControl/>
              <w:jc w:val="center"/>
              <w:rPr>
                <w:rFonts w:hint="eastAsia" w:ascii="仿宋" w:hAnsi="仿宋" w:eastAsia="仿宋" w:cs="仿宋"/>
                <w:b w:val="0"/>
                <w:bCs w:val="0"/>
                <w:color w:val="FFFFFF" w:themeColor="background1"/>
                <w:kern w:val="0"/>
                <w:sz w:val="20"/>
                <w14:textFill>
                  <w14:solidFill>
                    <w14:schemeClr w14:val="bg1"/>
                  </w14:solidFill>
                </w14:textFill>
              </w:rPr>
            </w:pPr>
            <w:r>
              <w:rPr>
                <w:rFonts w:hint="eastAsia" w:ascii="仿宋" w:hAnsi="仿宋" w:eastAsia="仿宋" w:cs="仿宋"/>
                <w:b/>
                <w:bCs/>
                <w:color w:val="auto"/>
                <w:kern w:val="0"/>
                <w:sz w:val="20"/>
              </w:rPr>
              <w:t>毕业生数</w:t>
            </w:r>
          </w:p>
        </w:tc>
        <w:tc>
          <w:tcPr>
            <w:tcW w:w="1418" w:type="dxa"/>
            <w:tcBorders>
              <w:top w:val="single" w:color="70AD47" w:themeColor="accent6" w:sz="4" w:space="0"/>
              <w:bottom w:val="single" w:color="70AD47" w:themeColor="accent6" w:sz="4" w:space="0"/>
              <w:right w:val="nil"/>
              <w:insideH w:val="single" w:sz="4" w:space="0"/>
              <w:insideV w:val="nil"/>
            </w:tcBorders>
            <w:shd w:val="clear" w:color="auto" w:fill="70AD47" w:themeFill="accent6"/>
          </w:tcPr>
          <w:p w14:paraId="751552D5">
            <w:pPr>
              <w:widowControl/>
              <w:jc w:val="center"/>
              <w:rPr>
                <w:rFonts w:hint="eastAsia" w:ascii="仿宋" w:hAnsi="仿宋" w:eastAsia="仿宋" w:cs="仿宋"/>
                <w:b w:val="0"/>
                <w:bCs w:val="0"/>
                <w:color w:val="FFFFFF" w:themeColor="background1"/>
                <w:kern w:val="0"/>
                <w:sz w:val="20"/>
                <w14:textFill>
                  <w14:solidFill>
                    <w14:schemeClr w14:val="bg1"/>
                  </w14:solidFill>
                </w14:textFill>
              </w:rPr>
            </w:pPr>
            <w:r>
              <w:rPr>
                <w:rFonts w:hint="eastAsia" w:ascii="仿宋" w:hAnsi="仿宋" w:eastAsia="仿宋" w:cs="仿宋"/>
                <w:b/>
                <w:bCs/>
                <w:color w:val="auto"/>
                <w:kern w:val="0"/>
                <w:sz w:val="20"/>
              </w:rPr>
              <w:t>生源占比</w:t>
            </w:r>
          </w:p>
        </w:tc>
        <w:tc>
          <w:tcPr>
            <w:tcW w:w="1417" w:type="dxa"/>
            <w:tcBorders>
              <w:top w:val="single" w:color="70AD47" w:themeColor="accent6" w:sz="4" w:space="0"/>
              <w:bottom w:val="single" w:color="70AD47" w:themeColor="accent6" w:sz="4" w:space="0"/>
              <w:right w:val="nil"/>
              <w:insideH w:val="single" w:sz="4" w:space="0"/>
              <w:insideV w:val="nil"/>
            </w:tcBorders>
            <w:shd w:val="clear" w:color="auto" w:fill="70AD47" w:themeFill="accent6"/>
            <w:noWrap/>
          </w:tcPr>
          <w:p w14:paraId="38FC4B99">
            <w:pPr>
              <w:widowControl/>
              <w:jc w:val="center"/>
              <w:rPr>
                <w:rFonts w:hint="eastAsia" w:ascii="仿宋" w:hAnsi="仿宋" w:eastAsia="仿宋" w:cs="仿宋"/>
                <w:b w:val="0"/>
                <w:bCs w:val="0"/>
                <w:color w:val="FFFFFF" w:themeColor="background1"/>
                <w:kern w:val="0"/>
                <w:sz w:val="20"/>
                <w14:textFill>
                  <w14:solidFill>
                    <w14:schemeClr w14:val="bg1"/>
                  </w14:solidFill>
                </w14:textFill>
              </w:rPr>
            </w:pPr>
            <w:r>
              <w:rPr>
                <w:rFonts w:hint="eastAsia" w:ascii="仿宋" w:hAnsi="仿宋" w:eastAsia="仿宋" w:cs="仿宋"/>
                <w:b/>
                <w:bCs/>
                <w:color w:val="auto"/>
                <w:kern w:val="0"/>
                <w:sz w:val="20"/>
                <w:szCs w:val="24"/>
              </w:rPr>
              <w:t>落实人数</w:t>
            </w:r>
          </w:p>
        </w:tc>
        <w:tc>
          <w:tcPr>
            <w:tcW w:w="1418" w:type="dxa"/>
            <w:tcBorders>
              <w:top w:val="single" w:color="70AD47" w:themeColor="accent6" w:sz="4" w:space="0"/>
              <w:bottom w:val="single" w:color="70AD47" w:themeColor="accent6" w:sz="4" w:space="0"/>
              <w:right w:val="single" w:color="70AD47" w:themeColor="accent6" w:sz="4" w:space="0"/>
              <w:insideH w:val="single" w:sz="4" w:space="0"/>
              <w:insideV w:val="nil"/>
            </w:tcBorders>
            <w:shd w:val="clear" w:color="auto" w:fill="70AD47" w:themeFill="accent6"/>
            <w:noWrap/>
          </w:tcPr>
          <w:p w14:paraId="3839E870">
            <w:pPr>
              <w:widowControl/>
              <w:jc w:val="center"/>
              <w:rPr>
                <w:rFonts w:hint="eastAsia" w:ascii="仿宋" w:hAnsi="仿宋" w:eastAsia="仿宋" w:cs="仿宋"/>
                <w:b w:val="0"/>
                <w:bCs w:val="0"/>
                <w:color w:val="FFFFFF" w:themeColor="background1"/>
                <w:kern w:val="0"/>
                <w:sz w:val="20"/>
                <w14:textFill>
                  <w14:solidFill>
                    <w14:schemeClr w14:val="bg1"/>
                  </w14:solidFill>
                </w14:textFill>
              </w:rPr>
            </w:pPr>
            <w:r>
              <w:rPr>
                <w:rFonts w:hint="eastAsia" w:ascii="仿宋" w:hAnsi="仿宋" w:eastAsia="仿宋" w:cs="仿宋"/>
                <w:b/>
                <w:bCs/>
                <w:color w:val="auto"/>
                <w:kern w:val="0"/>
                <w:sz w:val="20"/>
              </w:rPr>
              <w:t>落实率</w:t>
            </w:r>
          </w:p>
        </w:tc>
      </w:tr>
      <w:tr w14:paraId="379682EE">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70" w:hRule="atLeast"/>
        </w:trPr>
        <w:tc>
          <w:tcPr>
            <w:tcW w:w="2689" w:type="dxa"/>
            <w:shd w:val="clear" w:color="auto" w:fill="E2EFD9" w:themeFill="accent6" w:themeFillTint="33"/>
            <w:noWrap/>
          </w:tcPr>
          <w:p w14:paraId="137D688F">
            <w:pPr>
              <w:widowControl/>
              <w:jc w:val="center"/>
              <w:rPr>
                <w:rFonts w:hint="eastAsia" w:ascii="仿宋" w:hAnsi="仿宋" w:eastAsia="仿宋" w:cs="仿宋"/>
                <w:b/>
                <w:bCs w:val="0"/>
                <w:kern w:val="0"/>
                <w:sz w:val="20"/>
              </w:rPr>
            </w:pPr>
            <w:r>
              <w:rPr>
                <w:rFonts w:hint="eastAsia" w:ascii="仿宋" w:hAnsi="仿宋" w:eastAsia="仿宋" w:cs="仿宋"/>
                <w:b w:val="0"/>
                <w:bCs/>
                <w:kern w:val="0"/>
                <w:sz w:val="20"/>
              </w:rPr>
              <w:t>空乘与高铁管理学院</w:t>
            </w:r>
          </w:p>
        </w:tc>
        <w:tc>
          <w:tcPr>
            <w:tcW w:w="1417" w:type="dxa"/>
            <w:shd w:val="clear" w:color="auto" w:fill="E2EFD9" w:themeFill="accent6" w:themeFillTint="33"/>
            <w:noWrap/>
          </w:tcPr>
          <w:p w14:paraId="11719837">
            <w:pPr>
              <w:widowControl/>
              <w:jc w:val="center"/>
              <w:rPr>
                <w:rFonts w:hint="eastAsia" w:ascii="仿宋" w:hAnsi="仿宋" w:eastAsia="仿宋" w:cs="仿宋"/>
                <w:bCs/>
                <w:kern w:val="0"/>
                <w:sz w:val="20"/>
              </w:rPr>
            </w:pPr>
            <w:r>
              <w:rPr>
                <w:rFonts w:hint="eastAsia" w:ascii="仿宋" w:hAnsi="仿宋" w:eastAsia="仿宋" w:cs="仿宋"/>
                <w:kern w:val="0"/>
                <w:sz w:val="20"/>
                <w:szCs w:val="21"/>
              </w:rPr>
              <w:t>55</w:t>
            </w:r>
          </w:p>
        </w:tc>
        <w:tc>
          <w:tcPr>
            <w:tcW w:w="1418" w:type="dxa"/>
            <w:shd w:val="clear" w:color="auto" w:fill="E2EFD9" w:themeFill="accent6" w:themeFillTint="33"/>
          </w:tcPr>
          <w:p w14:paraId="090CC9FE">
            <w:pPr>
              <w:widowControl/>
              <w:jc w:val="center"/>
              <w:rPr>
                <w:rFonts w:hint="eastAsia" w:ascii="仿宋" w:hAnsi="仿宋" w:eastAsia="仿宋" w:cs="仿宋"/>
                <w:kern w:val="0"/>
                <w:sz w:val="20"/>
                <w:szCs w:val="21"/>
              </w:rPr>
            </w:pPr>
            <w:r>
              <w:rPr>
                <w:rFonts w:hint="eastAsia" w:ascii="仿宋" w:hAnsi="仿宋" w:eastAsia="仿宋" w:cs="仿宋"/>
                <w:kern w:val="0"/>
                <w:sz w:val="20"/>
                <w:szCs w:val="21"/>
              </w:rPr>
              <w:t>17.03%</w:t>
            </w:r>
          </w:p>
        </w:tc>
        <w:tc>
          <w:tcPr>
            <w:tcW w:w="1417" w:type="dxa"/>
            <w:shd w:val="clear" w:color="auto" w:fill="E2EFD9" w:themeFill="accent6" w:themeFillTint="33"/>
            <w:noWrap/>
          </w:tcPr>
          <w:p w14:paraId="1E7B1333">
            <w:pPr>
              <w:widowControl/>
              <w:jc w:val="center"/>
              <w:rPr>
                <w:rFonts w:hint="eastAsia" w:ascii="仿宋" w:hAnsi="仿宋" w:eastAsia="仿宋" w:cs="仿宋"/>
                <w:bCs/>
                <w:kern w:val="0"/>
                <w:sz w:val="20"/>
              </w:rPr>
            </w:pPr>
            <w:r>
              <w:rPr>
                <w:rFonts w:hint="eastAsia" w:ascii="仿宋" w:hAnsi="仿宋" w:eastAsia="仿宋" w:cs="仿宋"/>
                <w:kern w:val="0"/>
                <w:sz w:val="20"/>
                <w:szCs w:val="21"/>
              </w:rPr>
              <w:t>55</w:t>
            </w:r>
          </w:p>
        </w:tc>
        <w:tc>
          <w:tcPr>
            <w:tcW w:w="1418" w:type="dxa"/>
            <w:shd w:val="clear" w:color="auto" w:fill="E2EFD9" w:themeFill="accent6" w:themeFillTint="33"/>
            <w:noWrap/>
          </w:tcPr>
          <w:p w14:paraId="1FE9D336">
            <w:pPr>
              <w:widowControl/>
              <w:jc w:val="center"/>
              <w:rPr>
                <w:rFonts w:hint="eastAsia" w:ascii="仿宋" w:hAnsi="仿宋" w:eastAsia="仿宋" w:cs="仿宋"/>
                <w:bCs/>
                <w:kern w:val="0"/>
                <w:sz w:val="20"/>
              </w:rPr>
            </w:pPr>
            <w:r>
              <w:rPr>
                <w:rFonts w:hint="eastAsia" w:ascii="仿宋" w:hAnsi="仿宋" w:eastAsia="仿宋" w:cs="仿宋"/>
                <w:kern w:val="0"/>
                <w:sz w:val="20"/>
                <w:szCs w:val="21"/>
              </w:rPr>
              <w:t>100.00%</w:t>
            </w:r>
          </w:p>
        </w:tc>
      </w:tr>
      <w:tr w14:paraId="53AA6741">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70" w:hRule="atLeast"/>
        </w:trPr>
        <w:tc>
          <w:tcPr>
            <w:tcW w:w="2689" w:type="dxa"/>
            <w:shd w:val="clear" w:color="auto" w:fill="E2EFD9" w:themeFill="accent6" w:themeFillTint="33"/>
            <w:noWrap/>
          </w:tcPr>
          <w:p w14:paraId="20348640">
            <w:pPr>
              <w:widowControl/>
              <w:jc w:val="center"/>
              <w:rPr>
                <w:rFonts w:hint="eastAsia" w:ascii="仿宋" w:hAnsi="仿宋" w:eastAsia="仿宋" w:cs="仿宋"/>
                <w:b/>
                <w:bCs w:val="0"/>
                <w:kern w:val="0"/>
                <w:sz w:val="20"/>
              </w:rPr>
            </w:pPr>
            <w:r>
              <w:rPr>
                <w:rFonts w:hint="eastAsia" w:ascii="仿宋" w:hAnsi="仿宋" w:eastAsia="仿宋" w:cs="仿宋"/>
                <w:b w:val="0"/>
                <w:bCs/>
                <w:kern w:val="0"/>
                <w:sz w:val="20"/>
              </w:rPr>
              <w:t>护理中医学院</w:t>
            </w:r>
          </w:p>
        </w:tc>
        <w:tc>
          <w:tcPr>
            <w:tcW w:w="1417" w:type="dxa"/>
            <w:shd w:val="clear" w:color="auto" w:fill="E2EFD9" w:themeFill="accent6" w:themeFillTint="33"/>
            <w:noWrap/>
          </w:tcPr>
          <w:p w14:paraId="3CD6B673">
            <w:pPr>
              <w:widowControl/>
              <w:jc w:val="center"/>
              <w:rPr>
                <w:rFonts w:hint="eastAsia" w:ascii="仿宋" w:hAnsi="仿宋" w:eastAsia="仿宋" w:cs="仿宋"/>
                <w:bCs/>
                <w:kern w:val="0"/>
                <w:sz w:val="20"/>
              </w:rPr>
            </w:pPr>
            <w:r>
              <w:rPr>
                <w:rFonts w:hint="eastAsia" w:ascii="仿宋" w:hAnsi="仿宋" w:eastAsia="仿宋" w:cs="仿宋"/>
                <w:kern w:val="0"/>
                <w:sz w:val="20"/>
                <w:szCs w:val="21"/>
              </w:rPr>
              <w:t>88</w:t>
            </w:r>
          </w:p>
        </w:tc>
        <w:tc>
          <w:tcPr>
            <w:tcW w:w="1418" w:type="dxa"/>
            <w:shd w:val="clear" w:color="auto" w:fill="E2EFD9" w:themeFill="accent6" w:themeFillTint="33"/>
          </w:tcPr>
          <w:p w14:paraId="5E5701D5">
            <w:pPr>
              <w:widowControl/>
              <w:jc w:val="center"/>
              <w:rPr>
                <w:rFonts w:hint="eastAsia" w:ascii="仿宋" w:hAnsi="仿宋" w:eastAsia="仿宋" w:cs="仿宋"/>
                <w:kern w:val="0"/>
                <w:sz w:val="20"/>
                <w:szCs w:val="21"/>
              </w:rPr>
            </w:pPr>
            <w:r>
              <w:rPr>
                <w:rFonts w:hint="eastAsia" w:ascii="仿宋" w:hAnsi="仿宋" w:eastAsia="仿宋" w:cs="仿宋"/>
                <w:kern w:val="0"/>
                <w:sz w:val="20"/>
                <w:szCs w:val="21"/>
              </w:rPr>
              <w:t>27.24%</w:t>
            </w:r>
          </w:p>
        </w:tc>
        <w:tc>
          <w:tcPr>
            <w:tcW w:w="1417" w:type="dxa"/>
            <w:shd w:val="clear" w:color="auto" w:fill="E2EFD9" w:themeFill="accent6" w:themeFillTint="33"/>
            <w:noWrap/>
          </w:tcPr>
          <w:p w14:paraId="159D1F36">
            <w:pPr>
              <w:widowControl/>
              <w:jc w:val="center"/>
              <w:rPr>
                <w:rFonts w:hint="eastAsia" w:ascii="仿宋" w:hAnsi="仿宋" w:eastAsia="仿宋" w:cs="仿宋"/>
                <w:bCs/>
                <w:kern w:val="0"/>
                <w:sz w:val="20"/>
              </w:rPr>
            </w:pPr>
            <w:r>
              <w:rPr>
                <w:rFonts w:hint="eastAsia" w:ascii="仿宋" w:hAnsi="仿宋" w:eastAsia="仿宋" w:cs="仿宋"/>
                <w:kern w:val="0"/>
                <w:sz w:val="20"/>
                <w:szCs w:val="21"/>
              </w:rPr>
              <w:t>86</w:t>
            </w:r>
          </w:p>
        </w:tc>
        <w:tc>
          <w:tcPr>
            <w:tcW w:w="1418" w:type="dxa"/>
            <w:shd w:val="clear" w:color="auto" w:fill="E2EFD9" w:themeFill="accent6" w:themeFillTint="33"/>
            <w:noWrap/>
          </w:tcPr>
          <w:p w14:paraId="416082F7">
            <w:pPr>
              <w:widowControl/>
              <w:jc w:val="center"/>
              <w:rPr>
                <w:rFonts w:hint="eastAsia" w:ascii="仿宋" w:hAnsi="仿宋" w:eastAsia="仿宋" w:cs="仿宋"/>
                <w:bCs/>
                <w:kern w:val="0"/>
                <w:sz w:val="20"/>
              </w:rPr>
            </w:pPr>
            <w:r>
              <w:rPr>
                <w:rFonts w:hint="eastAsia" w:ascii="仿宋" w:hAnsi="仿宋" w:eastAsia="仿宋" w:cs="仿宋"/>
                <w:kern w:val="0"/>
                <w:sz w:val="20"/>
                <w:szCs w:val="21"/>
              </w:rPr>
              <w:t>97.73%</w:t>
            </w:r>
          </w:p>
        </w:tc>
      </w:tr>
      <w:tr w14:paraId="76477DF1">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70" w:hRule="atLeast"/>
        </w:trPr>
        <w:tc>
          <w:tcPr>
            <w:tcW w:w="2689" w:type="dxa"/>
            <w:shd w:val="clear" w:color="auto" w:fill="E2EFD9" w:themeFill="accent6" w:themeFillTint="33"/>
            <w:noWrap/>
          </w:tcPr>
          <w:p w14:paraId="728FC3D4">
            <w:pPr>
              <w:widowControl/>
              <w:jc w:val="center"/>
              <w:rPr>
                <w:rFonts w:hint="eastAsia" w:ascii="仿宋" w:hAnsi="仿宋" w:eastAsia="仿宋" w:cs="仿宋"/>
                <w:b/>
                <w:bCs w:val="0"/>
                <w:kern w:val="0"/>
                <w:sz w:val="20"/>
              </w:rPr>
            </w:pPr>
            <w:r>
              <w:rPr>
                <w:rFonts w:hint="eastAsia" w:ascii="仿宋" w:hAnsi="仿宋" w:eastAsia="仿宋" w:cs="仿宋"/>
                <w:b w:val="0"/>
                <w:bCs/>
                <w:kern w:val="0"/>
                <w:sz w:val="20"/>
              </w:rPr>
              <w:t>幼儿师范学院</w:t>
            </w:r>
          </w:p>
        </w:tc>
        <w:tc>
          <w:tcPr>
            <w:tcW w:w="1417" w:type="dxa"/>
            <w:shd w:val="clear" w:color="auto" w:fill="E2EFD9" w:themeFill="accent6" w:themeFillTint="33"/>
            <w:noWrap/>
          </w:tcPr>
          <w:p w14:paraId="1CBBBF5B">
            <w:pPr>
              <w:widowControl/>
              <w:jc w:val="center"/>
              <w:rPr>
                <w:rFonts w:hint="eastAsia" w:ascii="仿宋" w:hAnsi="仿宋" w:eastAsia="仿宋" w:cs="仿宋"/>
                <w:bCs/>
                <w:kern w:val="0"/>
                <w:sz w:val="20"/>
              </w:rPr>
            </w:pPr>
            <w:r>
              <w:rPr>
                <w:rFonts w:hint="eastAsia" w:ascii="仿宋" w:hAnsi="仿宋" w:eastAsia="仿宋" w:cs="仿宋"/>
                <w:kern w:val="0"/>
                <w:sz w:val="20"/>
                <w:szCs w:val="21"/>
              </w:rPr>
              <w:t>77</w:t>
            </w:r>
          </w:p>
        </w:tc>
        <w:tc>
          <w:tcPr>
            <w:tcW w:w="1418" w:type="dxa"/>
            <w:shd w:val="clear" w:color="auto" w:fill="E2EFD9" w:themeFill="accent6" w:themeFillTint="33"/>
          </w:tcPr>
          <w:p w14:paraId="0816609A">
            <w:pPr>
              <w:widowControl/>
              <w:jc w:val="center"/>
              <w:rPr>
                <w:rFonts w:hint="eastAsia" w:ascii="仿宋" w:hAnsi="仿宋" w:eastAsia="仿宋" w:cs="仿宋"/>
                <w:kern w:val="0"/>
                <w:sz w:val="20"/>
                <w:szCs w:val="21"/>
              </w:rPr>
            </w:pPr>
            <w:r>
              <w:rPr>
                <w:rFonts w:hint="eastAsia" w:ascii="仿宋" w:hAnsi="仿宋" w:eastAsia="仿宋" w:cs="仿宋"/>
                <w:kern w:val="0"/>
                <w:sz w:val="20"/>
                <w:szCs w:val="21"/>
              </w:rPr>
              <w:t>23.84%</w:t>
            </w:r>
          </w:p>
        </w:tc>
        <w:tc>
          <w:tcPr>
            <w:tcW w:w="1417" w:type="dxa"/>
            <w:shd w:val="clear" w:color="auto" w:fill="E2EFD9" w:themeFill="accent6" w:themeFillTint="33"/>
            <w:noWrap/>
          </w:tcPr>
          <w:p w14:paraId="7E56309F">
            <w:pPr>
              <w:widowControl/>
              <w:jc w:val="center"/>
              <w:rPr>
                <w:rFonts w:hint="eastAsia" w:ascii="仿宋" w:hAnsi="仿宋" w:eastAsia="仿宋" w:cs="仿宋"/>
                <w:bCs/>
                <w:kern w:val="0"/>
                <w:sz w:val="20"/>
              </w:rPr>
            </w:pPr>
            <w:r>
              <w:rPr>
                <w:rFonts w:hint="eastAsia" w:ascii="仿宋" w:hAnsi="仿宋" w:eastAsia="仿宋" w:cs="仿宋"/>
                <w:kern w:val="0"/>
                <w:sz w:val="20"/>
                <w:szCs w:val="21"/>
              </w:rPr>
              <w:t>75</w:t>
            </w:r>
          </w:p>
        </w:tc>
        <w:tc>
          <w:tcPr>
            <w:tcW w:w="1418" w:type="dxa"/>
            <w:shd w:val="clear" w:color="auto" w:fill="E2EFD9" w:themeFill="accent6" w:themeFillTint="33"/>
            <w:noWrap/>
          </w:tcPr>
          <w:p w14:paraId="1F980C3E">
            <w:pPr>
              <w:widowControl/>
              <w:jc w:val="center"/>
              <w:rPr>
                <w:rFonts w:hint="eastAsia" w:ascii="仿宋" w:hAnsi="仿宋" w:eastAsia="仿宋" w:cs="仿宋"/>
                <w:bCs/>
                <w:kern w:val="0"/>
                <w:sz w:val="20"/>
              </w:rPr>
            </w:pPr>
            <w:r>
              <w:rPr>
                <w:rFonts w:hint="eastAsia" w:ascii="仿宋" w:hAnsi="仿宋" w:eastAsia="仿宋" w:cs="仿宋"/>
                <w:kern w:val="0"/>
                <w:sz w:val="20"/>
                <w:szCs w:val="21"/>
              </w:rPr>
              <w:t>97.40%</w:t>
            </w:r>
          </w:p>
        </w:tc>
      </w:tr>
      <w:tr w14:paraId="07098BA3">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70" w:hRule="atLeast"/>
        </w:trPr>
        <w:tc>
          <w:tcPr>
            <w:tcW w:w="2689" w:type="dxa"/>
            <w:shd w:val="clear" w:color="auto" w:fill="E2EFD9" w:themeFill="accent6" w:themeFillTint="33"/>
            <w:noWrap/>
          </w:tcPr>
          <w:p w14:paraId="1D3224E0">
            <w:pPr>
              <w:widowControl/>
              <w:jc w:val="center"/>
              <w:rPr>
                <w:rFonts w:hint="eastAsia" w:ascii="仿宋" w:hAnsi="仿宋" w:eastAsia="仿宋" w:cs="仿宋"/>
                <w:b/>
                <w:bCs w:val="0"/>
                <w:kern w:val="0"/>
                <w:sz w:val="20"/>
              </w:rPr>
            </w:pPr>
            <w:r>
              <w:rPr>
                <w:rFonts w:hint="eastAsia" w:ascii="仿宋" w:hAnsi="仿宋" w:eastAsia="仿宋" w:cs="仿宋"/>
                <w:b w:val="0"/>
                <w:bCs/>
                <w:kern w:val="0"/>
                <w:sz w:val="20"/>
              </w:rPr>
              <w:t>绘画与设计学院</w:t>
            </w:r>
          </w:p>
        </w:tc>
        <w:tc>
          <w:tcPr>
            <w:tcW w:w="1417" w:type="dxa"/>
            <w:shd w:val="clear" w:color="auto" w:fill="E2EFD9" w:themeFill="accent6" w:themeFillTint="33"/>
            <w:noWrap/>
          </w:tcPr>
          <w:p w14:paraId="61083936">
            <w:pPr>
              <w:widowControl/>
              <w:jc w:val="center"/>
              <w:rPr>
                <w:rFonts w:hint="eastAsia" w:ascii="仿宋" w:hAnsi="仿宋" w:eastAsia="仿宋" w:cs="仿宋"/>
                <w:bCs/>
                <w:kern w:val="0"/>
                <w:sz w:val="20"/>
              </w:rPr>
            </w:pPr>
            <w:r>
              <w:rPr>
                <w:rFonts w:hint="eastAsia" w:ascii="仿宋" w:hAnsi="仿宋" w:eastAsia="仿宋" w:cs="仿宋"/>
                <w:kern w:val="0"/>
                <w:sz w:val="20"/>
                <w:szCs w:val="21"/>
              </w:rPr>
              <w:t>63</w:t>
            </w:r>
          </w:p>
        </w:tc>
        <w:tc>
          <w:tcPr>
            <w:tcW w:w="1418" w:type="dxa"/>
            <w:shd w:val="clear" w:color="auto" w:fill="E2EFD9" w:themeFill="accent6" w:themeFillTint="33"/>
          </w:tcPr>
          <w:p w14:paraId="0B51AF69">
            <w:pPr>
              <w:widowControl/>
              <w:jc w:val="center"/>
              <w:rPr>
                <w:rFonts w:hint="eastAsia" w:ascii="仿宋" w:hAnsi="仿宋" w:eastAsia="仿宋" w:cs="仿宋"/>
                <w:kern w:val="0"/>
                <w:sz w:val="20"/>
                <w:szCs w:val="21"/>
              </w:rPr>
            </w:pPr>
            <w:r>
              <w:rPr>
                <w:rFonts w:hint="eastAsia" w:ascii="仿宋" w:hAnsi="仿宋" w:eastAsia="仿宋" w:cs="仿宋"/>
                <w:kern w:val="0"/>
                <w:sz w:val="20"/>
                <w:szCs w:val="21"/>
              </w:rPr>
              <w:t>19.50%</w:t>
            </w:r>
          </w:p>
        </w:tc>
        <w:tc>
          <w:tcPr>
            <w:tcW w:w="1417" w:type="dxa"/>
            <w:shd w:val="clear" w:color="auto" w:fill="E2EFD9" w:themeFill="accent6" w:themeFillTint="33"/>
            <w:noWrap/>
          </w:tcPr>
          <w:p w14:paraId="267A29A2">
            <w:pPr>
              <w:widowControl/>
              <w:jc w:val="center"/>
              <w:rPr>
                <w:rFonts w:hint="eastAsia" w:ascii="仿宋" w:hAnsi="仿宋" w:eastAsia="仿宋" w:cs="仿宋"/>
                <w:bCs/>
                <w:kern w:val="0"/>
                <w:sz w:val="20"/>
                <w:lang w:val="en-US" w:eastAsia="zh-CN"/>
              </w:rPr>
            </w:pPr>
            <w:r>
              <w:rPr>
                <w:rFonts w:hint="eastAsia" w:ascii="仿宋" w:hAnsi="仿宋" w:eastAsia="仿宋" w:cs="仿宋"/>
                <w:kern w:val="0"/>
                <w:sz w:val="20"/>
                <w:szCs w:val="21"/>
              </w:rPr>
              <w:t>6</w:t>
            </w:r>
            <w:r>
              <w:rPr>
                <w:rFonts w:hint="eastAsia" w:ascii="仿宋" w:hAnsi="仿宋" w:eastAsia="仿宋" w:cs="仿宋"/>
                <w:kern w:val="0"/>
                <w:sz w:val="20"/>
                <w:szCs w:val="21"/>
                <w:lang w:val="en-US" w:eastAsia="zh-CN"/>
              </w:rPr>
              <w:t>3</w:t>
            </w:r>
          </w:p>
        </w:tc>
        <w:tc>
          <w:tcPr>
            <w:tcW w:w="1418" w:type="dxa"/>
            <w:shd w:val="clear" w:color="auto" w:fill="E2EFD9" w:themeFill="accent6" w:themeFillTint="33"/>
            <w:noWrap/>
          </w:tcPr>
          <w:p w14:paraId="09660C7F">
            <w:pPr>
              <w:widowControl/>
              <w:jc w:val="center"/>
              <w:rPr>
                <w:rFonts w:hint="eastAsia" w:ascii="仿宋" w:hAnsi="仿宋" w:eastAsia="仿宋" w:cs="仿宋"/>
                <w:bCs/>
                <w:kern w:val="0"/>
                <w:sz w:val="20"/>
              </w:rPr>
            </w:pPr>
            <w:r>
              <w:rPr>
                <w:rFonts w:hint="eastAsia" w:ascii="仿宋" w:hAnsi="仿宋" w:eastAsia="仿宋" w:cs="仿宋"/>
                <w:kern w:val="0"/>
                <w:sz w:val="20"/>
                <w:szCs w:val="21"/>
                <w:lang w:val="en-US" w:eastAsia="zh-CN"/>
              </w:rPr>
              <w:t>100</w:t>
            </w:r>
            <w:r>
              <w:rPr>
                <w:rFonts w:hint="eastAsia" w:ascii="仿宋" w:hAnsi="仿宋" w:eastAsia="仿宋" w:cs="仿宋"/>
                <w:kern w:val="0"/>
                <w:sz w:val="20"/>
                <w:szCs w:val="21"/>
              </w:rPr>
              <w:t>%</w:t>
            </w:r>
          </w:p>
        </w:tc>
      </w:tr>
      <w:tr w14:paraId="4A3B3177">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70" w:hRule="atLeast"/>
        </w:trPr>
        <w:tc>
          <w:tcPr>
            <w:tcW w:w="2689" w:type="dxa"/>
            <w:shd w:val="clear" w:color="auto" w:fill="E2EFD9" w:themeFill="accent6" w:themeFillTint="33"/>
            <w:noWrap/>
          </w:tcPr>
          <w:p w14:paraId="457E08D2">
            <w:pPr>
              <w:widowControl/>
              <w:jc w:val="center"/>
              <w:rPr>
                <w:rFonts w:hint="eastAsia" w:ascii="仿宋" w:hAnsi="仿宋" w:eastAsia="仿宋" w:cs="仿宋"/>
                <w:b/>
                <w:bCs w:val="0"/>
                <w:kern w:val="0"/>
                <w:sz w:val="20"/>
              </w:rPr>
            </w:pPr>
            <w:r>
              <w:rPr>
                <w:rFonts w:hint="eastAsia" w:ascii="仿宋" w:hAnsi="仿宋" w:eastAsia="仿宋" w:cs="仿宋"/>
                <w:b w:val="0"/>
                <w:bCs/>
                <w:kern w:val="0"/>
                <w:sz w:val="20"/>
              </w:rPr>
              <w:t>计算机电子商务学院</w:t>
            </w:r>
          </w:p>
        </w:tc>
        <w:tc>
          <w:tcPr>
            <w:tcW w:w="1417" w:type="dxa"/>
            <w:shd w:val="clear" w:color="auto" w:fill="E2EFD9" w:themeFill="accent6" w:themeFillTint="33"/>
            <w:noWrap/>
          </w:tcPr>
          <w:p w14:paraId="2C1EB661">
            <w:pPr>
              <w:widowControl/>
              <w:jc w:val="center"/>
              <w:rPr>
                <w:rFonts w:hint="eastAsia" w:ascii="仿宋" w:hAnsi="仿宋" w:eastAsia="仿宋" w:cs="仿宋"/>
                <w:bCs/>
                <w:kern w:val="0"/>
                <w:sz w:val="20"/>
                <w:lang w:val="en-US" w:eastAsia="zh-CN"/>
              </w:rPr>
            </w:pPr>
            <w:r>
              <w:rPr>
                <w:rFonts w:hint="eastAsia" w:ascii="仿宋" w:hAnsi="仿宋" w:eastAsia="仿宋" w:cs="仿宋"/>
                <w:bCs/>
                <w:kern w:val="0"/>
                <w:sz w:val="20"/>
                <w:lang w:val="en-US" w:eastAsia="zh-CN"/>
              </w:rPr>
              <w:t>40</w:t>
            </w:r>
          </w:p>
        </w:tc>
        <w:tc>
          <w:tcPr>
            <w:tcW w:w="1418" w:type="dxa"/>
            <w:shd w:val="clear" w:color="auto" w:fill="E2EFD9" w:themeFill="accent6" w:themeFillTint="33"/>
          </w:tcPr>
          <w:p w14:paraId="327A6366">
            <w:pPr>
              <w:widowControl/>
              <w:jc w:val="center"/>
              <w:rPr>
                <w:rFonts w:hint="eastAsia" w:ascii="仿宋" w:hAnsi="仿宋" w:eastAsia="仿宋" w:cs="仿宋"/>
                <w:kern w:val="0"/>
                <w:sz w:val="20"/>
                <w:szCs w:val="21"/>
              </w:rPr>
            </w:pPr>
            <w:r>
              <w:rPr>
                <w:rFonts w:hint="eastAsia" w:ascii="仿宋" w:hAnsi="仿宋" w:eastAsia="仿宋" w:cs="仿宋"/>
                <w:kern w:val="0"/>
                <w:sz w:val="20"/>
                <w:szCs w:val="21"/>
              </w:rPr>
              <w:t>8.67%</w:t>
            </w:r>
          </w:p>
        </w:tc>
        <w:tc>
          <w:tcPr>
            <w:tcW w:w="1417" w:type="dxa"/>
            <w:shd w:val="clear" w:color="auto" w:fill="E2EFD9" w:themeFill="accent6" w:themeFillTint="33"/>
            <w:noWrap/>
          </w:tcPr>
          <w:p w14:paraId="74117153">
            <w:pPr>
              <w:widowControl/>
              <w:jc w:val="center"/>
              <w:rPr>
                <w:rFonts w:hint="eastAsia" w:ascii="仿宋" w:hAnsi="仿宋" w:eastAsia="仿宋" w:cs="仿宋"/>
                <w:bCs/>
                <w:kern w:val="0"/>
                <w:sz w:val="20"/>
                <w:lang w:val="en-US" w:eastAsia="zh-CN"/>
              </w:rPr>
            </w:pPr>
            <w:r>
              <w:rPr>
                <w:rFonts w:hint="eastAsia" w:ascii="仿宋" w:hAnsi="仿宋" w:eastAsia="仿宋" w:cs="仿宋"/>
                <w:kern w:val="0"/>
                <w:sz w:val="20"/>
                <w:szCs w:val="21"/>
                <w:lang w:val="en-US" w:eastAsia="zh-CN"/>
              </w:rPr>
              <w:t>40</w:t>
            </w:r>
          </w:p>
        </w:tc>
        <w:tc>
          <w:tcPr>
            <w:tcW w:w="1418" w:type="dxa"/>
            <w:shd w:val="clear" w:color="auto" w:fill="E2EFD9" w:themeFill="accent6" w:themeFillTint="33"/>
            <w:noWrap/>
          </w:tcPr>
          <w:p w14:paraId="44B786D7">
            <w:pPr>
              <w:widowControl/>
              <w:jc w:val="center"/>
              <w:rPr>
                <w:rFonts w:hint="eastAsia" w:ascii="仿宋" w:hAnsi="仿宋" w:eastAsia="仿宋" w:cs="仿宋"/>
                <w:bCs/>
                <w:kern w:val="0"/>
                <w:sz w:val="20"/>
              </w:rPr>
            </w:pPr>
            <w:r>
              <w:rPr>
                <w:rFonts w:hint="eastAsia" w:ascii="仿宋" w:hAnsi="仿宋" w:eastAsia="仿宋" w:cs="仿宋"/>
                <w:kern w:val="0"/>
                <w:sz w:val="20"/>
                <w:szCs w:val="21"/>
                <w:lang w:val="en-US" w:eastAsia="zh-CN"/>
              </w:rPr>
              <w:t>100</w:t>
            </w:r>
            <w:r>
              <w:rPr>
                <w:rFonts w:hint="eastAsia" w:ascii="仿宋" w:hAnsi="仿宋" w:eastAsia="仿宋" w:cs="仿宋"/>
                <w:kern w:val="0"/>
                <w:sz w:val="20"/>
                <w:szCs w:val="21"/>
              </w:rPr>
              <w:t>%</w:t>
            </w:r>
          </w:p>
        </w:tc>
      </w:tr>
      <w:tr w14:paraId="0629A9E9">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70" w:hRule="atLeast"/>
        </w:trPr>
        <w:tc>
          <w:tcPr>
            <w:tcW w:w="2689" w:type="dxa"/>
            <w:shd w:val="clear" w:color="auto" w:fill="E2EFD9" w:themeFill="accent6" w:themeFillTint="33"/>
            <w:noWrap/>
          </w:tcPr>
          <w:p w14:paraId="31B5EEE1">
            <w:pPr>
              <w:widowControl/>
              <w:jc w:val="center"/>
              <w:rPr>
                <w:rFonts w:hint="eastAsia" w:ascii="仿宋" w:hAnsi="仿宋" w:eastAsia="仿宋" w:cs="仿宋"/>
                <w:b/>
                <w:bCs w:val="0"/>
                <w:kern w:val="0"/>
                <w:sz w:val="20"/>
              </w:rPr>
            </w:pPr>
            <w:r>
              <w:rPr>
                <w:rFonts w:hint="eastAsia" w:ascii="仿宋" w:hAnsi="仿宋" w:eastAsia="仿宋" w:cs="仿宋"/>
                <w:b w:val="0"/>
                <w:bCs/>
                <w:kern w:val="0"/>
                <w:sz w:val="20"/>
              </w:rPr>
              <w:t>合计</w:t>
            </w:r>
          </w:p>
        </w:tc>
        <w:tc>
          <w:tcPr>
            <w:tcW w:w="1417" w:type="dxa"/>
            <w:shd w:val="clear" w:color="auto" w:fill="E2EFD9" w:themeFill="accent6" w:themeFillTint="33"/>
            <w:noWrap/>
          </w:tcPr>
          <w:p w14:paraId="1EBD1941">
            <w:pPr>
              <w:widowControl/>
              <w:jc w:val="center"/>
              <w:rPr>
                <w:rFonts w:hint="eastAsia" w:ascii="仿宋" w:hAnsi="仿宋" w:eastAsia="仿宋" w:cs="仿宋"/>
                <w:bCs/>
                <w:kern w:val="0"/>
                <w:sz w:val="20"/>
              </w:rPr>
            </w:pPr>
            <w:r>
              <w:rPr>
                <w:rFonts w:hint="eastAsia" w:ascii="仿宋" w:hAnsi="仿宋" w:eastAsia="仿宋" w:cs="仿宋"/>
                <w:kern w:val="0"/>
                <w:sz w:val="20"/>
                <w:szCs w:val="21"/>
              </w:rPr>
              <w:t>323</w:t>
            </w:r>
          </w:p>
        </w:tc>
        <w:tc>
          <w:tcPr>
            <w:tcW w:w="1418" w:type="dxa"/>
            <w:shd w:val="clear" w:color="auto" w:fill="E2EFD9" w:themeFill="accent6" w:themeFillTint="33"/>
          </w:tcPr>
          <w:p w14:paraId="3E848357">
            <w:pPr>
              <w:widowControl/>
              <w:jc w:val="center"/>
              <w:rPr>
                <w:rFonts w:hint="eastAsia" w:ascii="仿宋" w:hAnsi="仿宋" w:eastAsia="仿宋" w:cs="仿宋"/>
                <w:kern w:val="0"/>
                <w:sz w:val="20"/>
                <w:szCs w:val="21"/>
              </w:rPr>
            </w:pPr>
            <w:r>
              <w:rPr>
                <w:rFonts w:hint="eastAsia" w:ascii="仿宋" w:hAnsi="仿宋" w:eastAsia="仿宋" w:cs="仿宋"/>
                <w:kern w:val="0"/>
                <w:sz w:val="20"/>
                <w:szCs w:val="21"/>
              </w:rPr>
              <w:t>100%</w:t>
            </w:r>
          </w:p>
        </w:tc>
        <w:tc>
          <w:tcPr>
            <w:tcW w:w="1417" w:type="dxa"/>
            <w:shd w:val="clear" w:color="auto" w:fill="E2EFD9" w:themeFill="accent6" w:themeFillTint="33"/>
            <w:noWrap/>
          </w:tcPr>
          <w:p w14:paraId="4CDB1313">
            <w:pPr>
              <w:widowControl/>
              <w:jc w:val="center"/>
              <w:rPr>
                <w:rFonts w:hint="eastAsia" w:ascii="仿宋" w:hAnsi="仿宋" w:eastAsia="仿宋" w:cs="仿宋"/>
                <w:bCs/>
                <w:kern w:val="0"/>
                <w:sz w:val="20"/>
                <w:lang w:val="en-US" w:eastAsia="zh-CN"/>
              </w:rPr>
            </w:pPr>
            <w:r>
              <w:rPr>
                <w:rFonts w:hint="eastAsia" w:ascii="仿宋" w:hAnsi="仿宋" w:eastAsia="仿宋" w:cs="仿宋"/>
                <w:kern w:val="0"/>
                <w:sz w:val="20"/>
                <w:szCs w:val="21"/>
              </w:rPr>
              <w:t>31</w:t>
            </w:r>
            <w:r>
              <w:rPr>
                <w:rFonts w:hint="eastAsia" w:ascii="仿宋" w:hAnsi="仿宋" w:eastAsia="仿宋" w:cs="仿宋"/>
                <w:kern w:val="0"/>
                <w:sz w:val="20"/>
                <w:szCs w:val="21"/>
                <w:lang w:val="en-US" w:eastAsia="zh-CN"/>
              </w:rPr>
              <w:t>9</w:t>
            </w:r>
          </w:p>
        </w:tc>
        <w:tc>
          <w:tcPr>
            <w:tcW w:w="1418" w:type="dxa"/>
            <w:shd w:val="clear" w:color="auto" w:fill="E2EFD9" w:themeFill="accent6" w:themeFillTint="33"/>
            <w:noWrap/>
          </w:tcPr>
          <w:p w14:paraId="1227FA28">
            <w:pPr>
              <w:widowControl/>
              <w:jc w:val="center"/>
              <w:rPr>
                <w:rFonts w:hint="eastAsia" w:ascii="仿宋" w:hAnsi="仿宋" w:eastAsia="仿宋" w:cs="仿宋"/>
                <w:bCs/>
                <w:kern w:val="0"/>
                <w:sz w:val="20"/>
              </w:rPr>
            </w:pPr>
            <w:r>
              <w:rPr>
                <w:rFonts w:hint="eastAsia" w:ascii="仿宋" w:hAnsi="仿宋" w:eastAsia="仿宋" w:cs="仿宋"/>
                <w:kern w:val="0"/>
                <w:sz w:val="20"/>
                <w:szCs w:val="21"/>
                <w:lang w:val="en-US" w:eastAsia="zh-CN"/>
              </w:rPr>
              <w:t>98.76</w:t>
            </w:r>
            <w:r>
              <w:rPr>
                <w:rFonts w:hint="eastAsia" w:ascii="仿宋" w:hAnsi="仿宋" w:eastAsia="仿宋" w:cs="仿宋"/>
                <w:kern w:val="0"/>
                <w:sz w:val="20"/>
                <w:szCs w:val="21"/>
              </w:rPr>
              <w:t>%</w:t>
            </w:r>
          </w:p>
        </w:tc>
      </w:tr>
    </w:tbl>
    <w:p w14:paraId="1577B5C4">
      <w:pPr>
        <w:pStyle w:val="3"/>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（二）就业流向</w:t>
      </w:r>
    </w:p>
    <w:p w14:paraId="79271369">
      <w:pPr>
        <w:pStyle w:val="3"/>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毕业生就业地域分布 </w:t>
      </w:r>
    </w:p>
    <w:p w14:paraId="4B88753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sz w:val="32"/>
          <w:szCs w:val="32"/>
          <w:lang w:eastAsia="zh-CN"/>
        </w:rPr>
        <w:t>我院</w:t>
      </w:r>
      <w:r>
        <w:rPr>
          <w:rFonts w:hint="eastAsia" w:ascii="仿宋" w:hAnsi="仿宋" w:eastAsia="仿宋" w:cs="仿宋"/>
          <w:sz w:val="32"/>
          <w:szCs w:val="32"/>
        </w:rPr>
        <w:t>2024届毕业生在区内就业22</w:t>
      </w:r>
      <w:r>
        <w:rPr>
          <w:rFonts w:hint="eastAsia" w:ascii="仿宋" w:hAnsi="仿宋" w:eastAsia="仿宋" w:cs="仿宋"/>
          <w:sz w:val="32"/>
          <w:szCs w:val="32"/>
          <w:lang w:val="en-US" w:eastAsia="zh-CN"/>
        </w:rPr>
        <w:t>2</w:t>
      </w:r>
      <w:r>
        <w:rPr>
          <w:rFonts w:hint="eastAsia" w:ascii="仿宋" w:hAnsi="仿宋" w:eastAsia="仿宋" w:cs="仿宋"/>
          <w:sz w:val="32"/>
          <w:szCs w:val="32"/>
        </w:rPr>
        <w:t>人，占比为83.46% ，区外就业44人，占比为16.54%，其中区内就业人数最多的城市为巴彦淖尔市，有157人，占区内就业人数的70.72%。详见下表。</w:t>
      </w:r>
    </w:p>
    <w:p w14:paraId="15CC0480">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center"/>
        <w:textAlignment w:val="auto"/>
        <w:rPr>
          <w:rFonts w:hint="eastAsia" w:ascii="仿宋" w:hAnsi="仿宋" w:eastAsia="仿宋" w:cs="仿宋"/>
          <w:color w:val="333333"/>
          <w:sz w:val="32"/>
          <w:szCs w:val="32"/>
          <w:lang w:eastAsia="zh-CN"/>
        </w:rPr>
      </w:pPr>
      <w:r>
        <w:rPr>
          <w:rFonts w:hint="eastAsia" w:ascii="仿宋" w:hAnsi="仿宋" w:eastAsia="仿宋" w:cs="仿宋"/>
          <w:color w:val="333333"/>
          <w:sz w:val="32"/>
          <w:szCs w:val="32"/>
        </w:rPr>
        <w:t>区内就业地分布</w:t>
      </w:r>
      <w:r>
        <w:rPr>
          <w:rFonts w:hint="eastAsia" w:ascii="仿宋" w:hAnsi="仿宋" w:eastAsia="仿宋" w:cs="仿宋"/>
          <w:color w:val="333333"/>
          <w:sz w:val="32"/>
          <w:szCs w:val="32"/>
          <w:lang w:eastAsia="zh-CN"/>
        </w:rPr>
        <w:t>表</w:t>
      </w:r>
    </w:p>
    <w:tbl>
      <w:tblPr>
        <w:tblStyle w:val="27"/>
        <w:tblW w:w="5000" w:type="pct"/>
        <w:tblInd w:w="0" w:type="dxa"/>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Layout w:type="autofit"/>
        <w:tblCellMar>
          <w:top w:w="0" w:type="dxa"/>
          <w:left w:w="108" w:type="dxa"/>
          <w:bottom w:w="0" w:type="dxa"/>
          <w:right w:w="108" w:type="dxa"/>
        </w:tblCellMar>
      </w:tblPr>
      <w:tblGrid>
        <w:gridCol w:w="3056"/>
        <w:gridCol w:w="2719"/>
        <w:gridCol w:w="2747"/>
      </w:tblGrid>
      <w:tr w14:paraId="033102F2">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1793" w:type="pct"/>
            <w:tcBorders>
              <w:top w:val="single" w:color="70AD47" w:themeColor="accent6" w:sz="4" w:space="0"/>
              <w:left w:val="single" w:color="70AD47" w:themeColor="accent6" w:sz="4" w:space="0"/>
              <w:bottom w:val="single" w:color="70AD47" w:themeColor="accent6" w:sz="4" w:space="0"/>
              <w:right w:val="nil"/>
              <w:insideH w:val="single" w:sz="4" w:space="0"/>
              <w:insideV w:val="nil"/>
            </w:tcBorders>
            <w:shd w:val="clear" w:color="auto" w:fill="70AD47" w:themeFill="accent6"/>
            <w:vAlign w:val="center"/>
          </w:tcPr>
          <w:p w14:paraId="60778A98">
            <w:pPr>
              <w:spacing w:line="300" w:lineRule="auto"/>
              <w:jc w:val="center"/>
              <w:rPr>
                <w:rFonts w:ascii="宋体" w:hAnsi="宋体" w:cs="宋体"/>
                <w:b/>
                <w:bCs/>
                <w:color w:val="FFFFFF" w:themeColor="background1"/>
                <w:sz w:val="20"/>
                <w:szCs w:val="20"/>
                <w14:textFill>
                  <w14:solidFill>
                    <w14:schemeClr w14:val="bg1"/>
                  </w14:solidFill>
                </w14:textFill>
              </w:rPr>
            </w:pPr>
            <w:bookmarkStart w:id="1" w:name="_Hlk60167588"/>
            <w:r>
              <w:rPr>
                <w:rFonts w:hint="eastAsia" w:ascii="宋体" w:hAnsi="宋体" w:cs="宋体"/>
                <w:b/>
                <w:bCs/>
                <w:color w:val="auto"/>
                <w:sz w:val="20"/>
                <w:szCs w:val="20"/>
              </w:rPr>
              <w:t>区内地区</w:t>
            </w:r>
          </w:p>
        </w:tc>
        <w:tc>
          <w:tcPr>
            <w:tcW w:w="1595" w:type="pct"/>
            <w:tcBorders>
              <w:top w:val="single" w:color="70AD47" w:themeColor="accent6" w:sz="4" w:space="0"/>
              <w:bottom w:val="single" w:color="70AD47" w:themeColor="accent6" w:sz="4" w:space="0"/>
              <w:right w:val="nil"/>
              <w:insideH w:val="single" w:sz="4" w:space="0"/>
              <w:insideV w:val="nil"/>
            </w:tcBorders>
            <w:shd w:val="clear" w:color="auto" w:fill="70AD47" w:themeFill="accent6"/>
            <w:vAlign w:val="center"/>
          </w:tcPr>
          <w:p w14:paraId="0EDD590E">
            <w:pPr>
              <w:spacing w:line="300" w:lineRule="auto"/>
              <w:jc w:val="center"/>
              <w:rPr>
                <w:rFonts w:ascii="宋体" w:hAnsi="宋体" w:cs="宋体"/>
                <w:b/>
                <w:bCs/>
                <w:color w:val="FFFFFF" w:themeColor="background1"/>
                <w:sz w:val="20"/>
                <w:szCs w:val="20"/>
                <w14:textFill>
                  <w14:solidFill>
                    <w14:schemeClr w14:val="bg1"/>
                  </w14:solidFill>
                </w14:textFill>
              </w:rPr>
            </w:pPr>
            <w:r>
              <w:rPr>
                <w:rFonts w:hint="eastAsia" w:ascii="宋体" w:hAnsi="宋体" w:cs="宋体"/>
                <w:b/>
                <w:bCs/>
                <w:color w:val="auto"/>
                <w:sz w:val="20"/>
                <w:szCs w:val="20"/>
              </w:rPr>
              <w:t>就业人数</w:t>
            </w:r>
          </w:p>
        </w:tc>
        <w:tc>
          <w:tcPr>
            <w:tcW w:w="1612" w:type="pct"/>
            <w:tcBorders>
              <w:top w:val="single" w:color="70AD47" w:themeColor="accent6" w:sz="4" w:space="0"/>
              <w:bottom w:val="single" w:color="70AD47" w:themeColor="accent6" w:sz="4" w:space="0"/>
              <w:right w:val="single" w:color="70AD47" w:themeColor="accent6" w:sz="4" w:space="0"/>
              <w:insideH w:val="single" w:sz="4" w:space="0"/>
              <w:insideV w:val="nil"/>
            </w:tcBorders>
            <w:shd w:val="clear" w:color="auto" w:fill="70AD47" w:themeFill="accent6"/>
            <w:vAlign w:val="center"/>
          </w:tcPr>
          <w:p w14:paraId="2DDD66EE">
            <w:pPr>
              <w:spacing w:line="300" w:lineRule="auto"/>
              <w:jc w:val="center"/>
              <w:rPr>
                <w:rFonts w:ascii="宋体" w:hAnsi="宋体" w:cs="宋体"/>
                <w:b/>
                <w:bCs/>
                <w:color w:val="FFFFFF" w:themeColor="background1"/>
                <w:sz w:val="20"/>
                <w:szCs w:val="20"/>
                <w14:textFill>
                  <w14:solidFill>
                    <w14:schemeClr w14:val="bg1"/>
                  </w14:solidFill>
                </w14:textFill>
              </w:rPr>
            </w:pPr>
            <w:r>
              <w:rPr>
                <w:rFonts w:hint="eastAsia" w:ascii="宋体" w:hAnsi="宋体" w:cs="宋体"/>
                <w:b/>
                <w:bCs/>
                <w:color w:val="auto"/>
                <w:sz w:val="20"/>
                <w:szCs w:val="20"/>
              </w:rPr>
              <w:t>占比</w:t>
            </w:r>
          </w:p>
        </w:tc>
      </w:tr>
      <w:tr w14:paraId="7E59072F">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1793" w:type="pct"/>
            <w:shd w:val="clear" w:color="auto" w:fill="E2EFD9" w:themeFill="accent6" w:themeFillTint="33"/>
            <w:vAlign w:val="center"/>
          </w:tcPr>
          <w:p w14:paraId="4193C5FF">
            <w:pPr>
              <w:widowControl/>
              <w:spacing w:line="300" w:lineRule="auto"/>
              <w:jc w:val="center"/>
              <w:textAlignment w:val="center"/>
              <w:rPr>
                <w:rFonts w:cs="Times New Roman"/>
                <w:b w:val="0"/>
                <w:bCs w:val="0"/>
                <w:sz w:val="20"/>
                <w:szCs w:val="20"/>
              </w:rPr>
            </w:pPr>
            <w:r>
              <w:rPr>
                <w:rFonts w:hint="eastAsia" w:cs="Times New Roman"/>
                <w:b/>
                <w:bCs/>
                <w:sz w:val="20"/>
                <w:szCs w:val="20"/>
              </w:rPr>
              <w:t>巴彦淖尔市</w:t>
            </w:r>
          </w:p>
        </w:tc>
        <w:tc>
          <w:tcPr>
            <w:tcW w:w="1595" w:type="pct"/>
            <w:shd w:val="clear" w:color="auto" w:fill="E2EFD9" w:themeFill="accent6" w:themeFillTint="33"/>
            <w:vAlign w:val="center"/>
          </w:tcPr>
          <w:p w14:paraId="4093576A">
            <w:pPr>
              <w:widowControl/>
              <w:spacing w:line="300" w:lineRule="auto"/>
              <w:jc w:val="center"/>
              <w:textAlignment w:val="center"/>
              <w:rPr>
                <w:rFonts w:cs="Times New Roman"/>
                <w:sz w:val="20"/>
                <w:szCs w:val="20"/>
              </w:rPr>
            </w:pPr>
            <w:r>
              <w:rPr>
                <w:rFonts w:hint="eastAsia" w:cs="Times New Roman"/>
                <w:sz w:val="20"/>
                <w:szCs w:val="20"/>
              </w:rPr>
              <w:t>157</w:t>
            </w:r>
          </w:p>
        </w:tc>
        <w:tc>
          <w:tcPr>
            <w:tcW w:w="1612" w:type="pct"/>
            <w:shd w:val="clear" w:color="auto" w:fill="E2EFD9" w:themeFill="accent6" w:themeFillTint="33"/>
            <w:vAlign w:val="center"/>
          </w:tcPr>
          <w:p w14:paraId="085D97D1">
            <w:pPr>
              <w:widowControl/>
              <w:spacing w:line="300" w:lineRule="auto"/>
              <w:jc w:val="center"/>
              <w:textAlignment w:val="center"/>
              <w:rPr>
                <w:rFonts w:cs="Times New Roman"/>
                <w:sz w:val="20"/>
                <w:szCs w:val="20"/>
              </w:rPr>
            </w:pPr>
            <w:r>
              <w:rPr>
                <w:rFonts w:hint="eastAsia" w:cs="Times New Roman"/>
                <w:sz w:val="20"/>
                <w:szCs w:val="20"/>
              </w:rPr>
              <w:t>70.72%</w:t>
            </w:r>
          </w:p>
        </w:tc>
      </w:tr>
      <w:tr w14:paraId="0A7D32E5">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1793" w:type="pct"/>
            <w:shd w:val="clear" w:color="auto" w:fill="E2EFD9" w:themeFill="accent6" w:themeFillTint="33"/>
            <w:vAlign w:val="center"/>
          </w:tcPr>
          <w:p w14:paraId="5D72BD43">
            <w:pPr>
              <w:widowControl/>
              <w:spacing w:line="300" w:lineRule="auto"/>
              <w:jc w:val="center"/>
              <w:textAlignment w:val="center"/>
              <w:rPr>
                <w:rFonts w:cs="Times New Roman"/>
                <w:b w:val="0"/>
                <w:bCs w:val="0"/>
                <w:sz w:val="20"/>
                <w:szCs w:val="20"/>
              </w:rPr>
            </w:pPr>
            <w:r>
              <w:rPr>
                <w:rFonts w:hint="eastAsia" w:cs="Times New Roman"/>
                <w:b/>
                <w:bCs/>
                <w:sz w:val="20"/>
                <w:szCs w:val="20"/>
              </w:rPr>
              <w:t>鄂尔多斯市</w:t>
            </w:r>
          </w:p>
        </w:tc>
        <w:tc>
          <w:tcPr>
            <w:tcW w:w="1595" w:type="pct"/>
            <w:shd w:val="clear" w:color="auto" w:fill="E2EFD9" w:themeFill="accent6" w:themeFillTint="33"/>
            <w:vAlign w:val="center"/>
          </w:tcPr>
          <w:p w14:paraId="7343E3BD">
            <w:pPr>
              <w:widowControl/>
              <w:spacing w:line="300" w:lineRule="auto"/>
              <w:jc w:val="center"/>
              <w:textAlignment w:val="center"/>
              <w:rPr>
                <w:rFonts w:cs="Times New Roman"/>
                <w:sz w:val="20"/>
                <w:szCs w:val="20"/>
              </w:rPr>
            </w:pPr>
            <w:r>
              <w:rPr>
                <w:rFonts w:hint="eastAsia" w:cs="Times New Roman"/>
                <w:sz w:val="20"/>
                <w:szCs w:val="20"/>
              </w:rPr>
              <w:t>29</w:t>
            </w:r>
          </w:p>
        </w:tc>
        <w:tc>
          <w:tcPr>
            <w:tcW w:w="1612" w:type="pct"/>
            <w:shd w:val="clear" w:color="auto" w:fill="E2EFD9" w:themeFill="accent6" w:themeFillTint="33"/>
            <w:vAlign w:val="center"/>
          </w:tcPr>
          <w:p w14:paraId="2A221AF2">
            <w:pPr>
              <w:widowControl/>
              <w:spacing w:line="300" w:lineRule="auto"/>
              <w:jc w:val="center"/>
              <w:textAlignment w:val="center"/>
              <w:rPr>
                <w:rFonts w:cs="Times New Roman"/>
                <w:sz w:val="20"/>
                <w:szCs w:val="20"/>
              </w:rPr>
            </w:pPr>
            <w:r>
              <w:rPr>
                <w:rFonts w:hint="eastAsia" w:cs="Times New Roman"/>
                <w:sz w:val="20"/>
                <w:szCs w:val="20"/>
              </w:rPr>
              <w:t>13.06%</w:t>
            </w:r>
          </w:p>
        </w:tc>
      </w:tr>
      <w:tr w14:paraId="3B063BF0">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1793" w:type="pct"/>
            <w:shd w:val="clear" w:color="auto" w:fill="E2EFD9" w:themeFill="accent6" w:themeFillTint="33"/>
            <w:vAlign w:val="center"/>
          </w:tcPr>
          <w:p w14:paraId="3D7846AD">
            <w:pPr>
              <w:widowControl/>
              <w:spacing w:line="300" w:lineRule="auto"/>
              <w:jc w:val="center"/>
              <w:textAlignment w:val="center"/>
              <w:rPr>
                <w:rFonts w:cs="Times New Roman"/>
                <w:b w:val="0"/>
                <w:bCs w:val="0"/>
                <w:sz w:val="20"/>
                <w:szCs w:val="20"/>
              </w:rPr>
            </w:pPr>
            <w:r>
              <w:rPr>
                <w:rFonts w:hint="eastAsia" w:cs="Times New Roman"/>
                <w:b/>
                <w:bCs/>
                <w:sz w:val="20"/>
                <w:szCs w:val="20"/>
              </w:rPr>
              <w:t>呼和浩特市</w:t>
            </w:r>
          </w:p>
        </w:tc>
        <w:tc>
          <w:tcPr>
            <w:tcW w:w="1595" w:type="pct"/>
            <w:shd w:val="clear" w:color="auto" w:fill="E2EFD9" w:themeFill="accent6" w:themeFillTint="33"/>
            <w:vAlign w:val="center"/>
          </w:tcPr>
          <w:p w14:paraId="36659221">
            <w:pPr>
              <w:widowControl/>
              <w:spacing w:line="300" w:lineRule="auto"/>
              <w:jc w:val="center"/>
              <w:textAlignment w:val="center"/>
              <w:rPr>
                <w:rFonts w:cs="Times New Roman"/>
                <w:sz w:val="20"/>
                <w:szCs w:val="20"/>
              </w:rPr>
            </w:pPr>
            <w:r>
              <w:rPr>
                <w:rFonts w:hint="eastAsia" w:cs="Times New Roman"/>
                <w:sz w:val="20"/>
                <w:szCs w:val="20"/>
              </w:rPr>
              <w:t>10</w:t>
            </w:r>
          </w:p>
        </w:tc>
        <w:tc>
          <w:tcPr>
            <w:tcW w:w="1612" w:type="pct"/>
            <w:shd w:val="clear" w:color="auto" w:fill="E2EFD9" w:themeFill="accent6" w:themeFillTint="33"/>
            <w:vAlign w:val="center"/>
          </w:tcPr>
          <w:p w14:paraId="6C866554">
            <w:pPr>
              <w:widowControl/>
              <w:spacing w:line="300" w:lineRule="auto"/>
              <w:jc w:val="center"/>
              <w:textAlignment w:val="center"/>
              <w:rPr>
                <w:rFonts w:cs="Times New Roman"/>
                <w:sz w:val="20"/>
                <w:szCs w:val="20"/>
              </w:rPr>
            </w:pPr>
            <w:r>
              <w:rPr>
                <w:rFonts w:hint="eastAsia" w:cs="Times New Roman"/>
                <w:sz w:val="20"/>
                <w:szCs w:val="20"/>
              </w:rPr>
              <w:t>4.50%</w:t>
            </w:r>
          </w:p>
        </w:tc>
      </w:tr>
      <w:tr w14:paraId="1570E3F6">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1793" w:type="pct"/>
            <w:shd w:val="clear" w:color="auto" w:fill="E2EFD9" w:themeFill="accent6" w:themeFillTint="33"/>
            <w:vAlign w:val="center"/>
          </w:tcPr>
          <w:p w14:paraId="4ED7E613">
            <w:pPr>
              <w:widowControl/>
              <w:spacing w:line="300" w:lineRule="auto"/>
              <w:jc w:val="center"/>
              <w:textAlignment w:val="center"/>
              <w:rPr>
                <w:rFonts w:cs="Times New Roman"/>
                <w:b w:val="0"/>
                <w:bCs w:val="0"/>
                <w:sz w:val="20"/>
                <w:szCs w:val="20"/>
              </w:rPr>
            </w:pPr>
            <w:r>
              <w:rPr>
                <w:rFonts w:hint="eastAsia" w:cs="Times New Roman"/>
                <w:b/>
                <w:bCs/>
                <w:sz w:val="20"/>
                <w:szCs w:val="20"/>
              </w:rPr>
              <w:t>兴安盟</w:t>
            </w:r>
          </w:p>
        </w:tc>
        <w:tc>
          <w:tcPr>
            <w:tcW w:w="1595" w:type="pct"/>
            <w:shd w:val="clear" w:color="auto" w:fill="E2EFD9" w:themeFill="accent6" w:themeFillTint="33"/>
            <w:vAlign w:val="center"/>
          </w:tcPr>
          <w:p w14:paraId="319A4080">
            <w:pPr>
              <w:widowControl/>
              <w:spacing w:line="300" w:lineRule="auto"/>
              <w:jc w:val="center"/>
              <w:textAlignment w:val="center"/>
              <w:rPr>
                <w:rFonts w:cs="Times New Roman"/>
                <w:sz w:val="20"/>
                <w:szCs w:val="20"/>
              </w:rPr>
            </w:pPr>
            <w:r>
              <w:rPr>
                <w:rFonts w:hint="eastAsia" w:cs="Times New Roman"/>
                <w:sz w:val="20"/>
                <w:szCs w:val="20"/>
              </w:rPr>
              <w:t>9</w:t>
            </w:r>
          </w:p>
        </w:tc>
        <w:tc>
          <w:tcPr>
            <w:tcW w:w="1612" w:type="pct"/>
            <w:shd w:val="clear" w:color="auto" w:fill="E2EFD9" w:themeFill="accent6" w:themeFillTint="33"/>
            <w:vAlign w:val="center"/>
          </w:tcPr>
          <w:p w14:paraId="475017FA">
            <w:pPr>
              <w:widowControl/>
              <w:spacing w:line="300" w:lineRule="auto"/>
              <w:jc w:val="center"/>
              <w:textAlignment w:val="center"/>
              <w:rPr>
                <w:rFonts w:cs="Times New Roman"/>
                <w:sz w:val="20"/>
                <w:szCs w:val="20"/>
              </w:rPr>
            </w:pPr>
            <w:r>
              <w:rPr>
                <w:rFonts w:hint="eastAsia" w:cs="Times New Roman"/>
                <w:sz w:val="20"/>
                <w:szCs w:val="20"/>
              </w:rPr>
              <w:t>4.05%</w:t>
            </w:r>
          </w:p>
        </w:tc>
      </w:tr>
      <w:tr w14:paraId="6EB0DDC1">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1793" w:type="pct"/>
            <w:shd w:val="clear" w:color="auto" w:fill="E2EFD9" w:themeFill="accent6" w:themeFillTint="33"/>
            <w:vAlign w:val="center"/>
          </w:tcPr>
          <w:p w14:paraId="7DEBEB4F">
            <w:pPr>
              <w:widowControl/>
              <w:spacing w:line="300" w:lineRule="auto"/>
              <w:jc w:val="center"/>
              <w:textAlignment w:val="center"/>
              <w:rPr>
                <w:rFonts w:cs="Times New Roman"/>
                <w:b w:val="0"/>
                <w:bCs w:val="0"/>
                <w:sz w:val="20"/>
                <w:szCs w:val="20"/>
              </w:rPr>
            </w:pPr>
            <w:r>
              <w:rPr>
                <w:rFonts w:hint="eastAsia" w:cs="Times New Roman"/>
                <w:b/>
                <w:bCs/>
                <w:sz w:val="20"/>
                <w:szCs w:val="20"/>
              </w:rPr>
              <w:t>包头市</w:t>
            </w:r>
          </w:p>
        </w:tc>
        <w:tc>
          <w:tcPr>
            <w:tcW w:w="1595" w:type="pct"/>
            <w:shd w:val="clear" w:color="auto" w:fill="E2EFD9" w:themeFill="accent6" w:themeFillTint="33"/>
            <w:vAlign w:val="center"/>
          </w:tcPr>
          <w:p w14:paraId="30BBA48D">
            <w:pPr>
              <w:widowControl/>
              <w:spacing w:line="300" w:lineRule="auto"/>
              <w:jc w:val="center"/>
              <w:textAlignment w:val="center"/>
              <w:rPr>
                <w:rFonts w:cs="Times New Roman"/>
                <w:sz w:val="20"/>
                <w:szCs w:val="20"/>
              </w:rPr>
            </w:pPr>
            <w:r>
              <w:rPr>
                <w:rFonts w:hint="eastAsia" w:cs="Times New Roman"/>
                <w:sz w:val="20"/>
                <w:szCs w:val="20"/>
              </w:rPr>
              <w:t>7</w:t>
            </w:r>
          </w:p>
        </w:tc>
        <w:tc>
          <w:tcPr>
            <w:tcW w:w="1612" w:type="pct"/>
            <w:shd w:val="clear" w:color="auto" w:fill="E2EFD9" w:themeFill="accent6" w:themeFillTint="33"/>
            <w:vAlign w:val="center"/>
          </w:tcPr>
          <w:p w14:paraId="4A4FAD37">
            <w:pPr>
              <w:widowControl/>
              <w:spacing w:line="300" w:lineRule="auto"/>
              <w:jc w:val="center"/>
              <w:textAlignment w:val="center"/>
              <w:rPr>
                <w:rFonts w:cs="Times New Roman"/>
                <w:sz w:val="20"/>
                <w:szCs w:val="20"/>
              </w:rPr>
            </w:pPr>
            <w:r>
              <w:rPr>
                <w:rFonts w:hint="eastAsia" w:cs="Times New Roman"/>
                <w:sz w:val="20"/>
                <w:szCs w:val="20"/>
              </w:rPr>
              <w:t>3.15%</w:t>
            </w:r>
          </w:p>
        </w:tc>
      </w:tr>
      <w:tr w14:paraId="13AA0406">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1793" w:type="pct"/>
            <w:shd w:val="clear" w:color="auto" w:fill="E2EFD9" w:themeFill="accent6" w:themeFillTint="33"/>
            <w:vAlign w:val="center"/>
          </w:tcPr>
          <w:p w14:paraId="24275630">
            <w:pPr>
              <w:widowControl/>
              <w:spacing w:line="300" w:lineRule="auto"/>
              <w:jc w:val="center"/>
              <w:textAlignment w:val="center"/>
              <w:rPr>
                <w:rFonts w:cs="Times New Roman"/>
                <w:b w:val="0"/>
                <w:bCs w:val="0"/>
                <w:sz w:val="20"/>
                <w:szCs w:val="20"/>
              </w:rPr>
            </w:pPr>
            <w:r>
              <w:rPr>
                <w:rFonts w:hint="eastAsia" w:cs="Times New Roman"/>
                <w:b/>
                <w:bCs/>
                <w:sz w:val="20"/>
                <w:szCs w:val="20"/>
              </w:rPr>
              <w:t>乌海市</w:t>
            </w:r>
          </w:p>
        </w:tc>
        <w:tc>
          <w:tcPr>
            <w:tcW w:w="1595" w:type="pct"/>
            <w:shd w:val="clear" w:color="auto" w:fill="E2EFD9" w:themeFill="accent6" w:themeFillTint="33"/>
            <w:vAlign w:val="center"/>
          </w:tcPr>
          <w:p w14:paraId="47869D18">
            <w:pPr>
              <w:widowControl/>
              <w:spacing w:line="300" w:lineRule="auto"/>
              <w:jc w:val="center"/>
              <w:textAlignment w:val="center"/>
              <w:rPr>
                <w:rFonts w:cs="Times New Roman"/>
                <w:sz w:val="20"/>
                <w:szCs w:val="20"/>
              </w:rPr>
            </w:pPr>
            <w:r>
              <w:rPr>
                <w:rFonts w:hint="eastAsia" w:cs="Times New Roman"/>
                <w:sz w:val="20"/>
                <w:szCs w:val="20"/>
              </w:rPr>
              <w:t>4</w:t>
            </w:r>
          </w:p>
        </w:tc>
        <w:tc>
          <w:tcPr>
            <w:tcW w:w="1612" w:type="pct"/>
            <w:shd w:val="clear" w:color="auto" w:fill="E2EFD9" w:themeFill="accent6" w:themeFillTint="33"/>
            <w:vAlign w:val="center"/>
          </w:tcPr>
          <w:p w14:paraId="440DAA4E">
            <w:pPr>
              <w:widowControl/>
              <w:spacing w:line="300" w:lineRule="auto"/>
              <w:jc w:val="center"/>
              <w:textAlignment w:val="center"/>
              <w:rPr>
                <w:rFonts w:cs="Times New Roman"/>
                <w:sz w:val="20"/>
                <w:szCs w:val="20"/>
              </w:rPr>
            </w:pPr>
            <w:r>
              <w:rPr>
                <w:rFonts w:hint="eastAsia" w:cs="Times New Roman"/>
                <w:sz w:val="20"/>
                <w:szCs w:val="20"/>
              </w:rPr>
              <w:t>1.80%</w:t>
            </w:r>
          </w:p>
        </w:tc>
      </w:tr>
      <w:tr w14:paraId="19306C98">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1793" w:type="pct"/>
            <w:shd w:val="clear" w:color="auto" w:fill="E2EFD9" w:themeFill="accent6" w:themeFillTint="33"/>
            <w:vAlign w:val="center"/>
          </w:tcPr>
          <w:p w14:paraId="3B694D0F">
            <w:pPr>
              <w:widowControl/>
              <w:spacing w:line="300" w:lineRule="auto"/>
              <w:jc w:val="center"/>
              <w:textAlignment w:val="center"/>
              <w:rPr>
                <w:rFonts w:cs="Times New Roman"/>
                <w:b w:val="0"/>
                <w:bCs w:val="0"/>
                <w:sz w:val="20"/>
                <w:szCs w:val="20"/>
              </w:rPr>
            </w:pPr>
            <w:r>
              <w:rPr>
                <w:rFonts w:hint="eastAsia" w:cs="Times New Roman"/>
                <w:b/>
                <w:bCs/>
                <w:sz w:val="20"/>
                <w:szCs w:val="20"/>
              </w:rPr>
              <w:t>乌兰察布市</w:t>
            </w:r>
          </w:p>
        </w:tc>
        <w:tc>
          <w:tcPr>
            <w:tcW w:w="1595" w:type="pct"/>
            <w:shd w:val="clear" w:color="auto" w:fill="E2EFD9" w:themeFill="accent6" w:themeFillTint="33"/>
            <w:vAlign w:val="center"/>
          </w:tcPr>
          <w:p w14:paraId="3D77EAF1">
            <w:pPr>
              <w:widowControl/>
              <w:spacing w:line="300" w:lineRule="auto"/>
              <w:jc w:val="center"/>
              <w:textAlignment w:val="center"/>
              <w:rPr>
                <w:rFonts w:cs="Times New Roman"/>
                <w:sz w:val="20"/>
                <w:szCs w:val="20"/>
              </w:rPr>
            </w:pPr>
            <w:r>
              <w:rPr>
                <w:rFonts w:hint="eastAsia" w:cs="Times New Roman"/>
                <w:sz w:val="20"/>
                <w:szCs w:val="20"/>
              </w:rPr>
              <w:t>2</w:t>
            </w:r>
          </w:p>
        </w:tc>
        <w:tc>
          <w:tcPr>
            <w:tcW w:w="1612" w:type="pct"/>
            <w:shd w:val="clear" w:color="auto" w:fill="E2EFD9" w:themeFill="accent6" w:themeFillTint="33"/>
            <w:vAlign w:val="center"/>
          </w:tcPr>
          <w:p w14:paraId="7DAC57C9">
            <w:pPr>
              <w:widowControl/>
              <w:spacing w:line="300" w:lineRule="auto"/>
              <w:jc w:val="center"/>
              <w:textAlignment w:val="center"/>
              <w:rPr>
                <w:rFonts w:cs="Times New Roman"/>
                <w:sz w:val="20"/>
                <w:szCs w:val="20"/>
              </w:rPr>
            </w:pPr>
            <w:r>
              <w:rPr>
                <w:rFonts w:hint="eastAsia" w:cs="Times New Roman"/>
                <w:sz w:val="20"/>
                <w:szCs w:val="20"/>
              </w:rPr>
              <w:t>0.90%</w:t>
            </w:r>
          </w:p>
        </w:tc>
      </w:tr>
      <w:tr w14:paraId="34D83C9B">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1793" w:type="pct"/>
            <w:shd w:val="clear" w:color="auto" w:fill="E2EFD9" w:themeFill="accent6" w:themeFillTint="33"/>
            <w:vAlign w:val="center"/>
          </w:tcPr>
          <w:p w14:paraId="01FBD978">
            <w:pPr>
              <w:widowControl/>
              <w:spacing w:line="300" w:lineRule="auto"/>
              <w:jc w:val="center"/>
              <w:textAlignment w:val="center"/>
              <w:rPr>
                <w:rFonts w:cs="Times New Roman"/>
                <w:b w:val="0"/>
                <w:bCs w:val="0"/>
                <w:sz w:val="20"/>
                <w:szCs w:val="20"/>
              </w:rPr>
            </w:pPr>
            <w:r>
              <w:rPr>
                <w:rFonts w:hint="eastAsia" w:cs="Times New Roman"/>
                <w:b/>
                <w:bCs/>
                <w:sz w:val="20"/>
                <w:szCs w:val="20"/>
              </w:rPr>
              <w:t>阿拉善盟</w:t>
            </w:r>
          </w:p>
        </w:tc>
        <w:tc>
          <w:tcPr>
            <w:tcW w:w="1595" w:type="pct"/>
            <w:shd w:val="clear" w:color="auto" w:fill="E2EFD9" w:themeFill="accent6" w:themeFillTint="33"/>
            <w:vAlign w:val="center"/>
          </w:tcPr>
          <w:p w14:paraId="0F21946E">
            <w:pPr>
              <w:widowControl/>
              <w:spacing w:line="300" w:lineRule="auto"/>
              <w:jc w:val="center"/>
              <w:textAlignment w:val="center"/>
              <w:rPr>
                <w:rFonts w:cs="Times New Roman"/>
                <w:sz w:val="20"/>
                <w:szCs w:val="20"/>
              </w:rPr>
            </w:pPr>
            <w:r>
              <w:rPr>
                <w:rFonts w:hint="eastAsia" w:cs="Times New Roman"/>
                <w:sz w:val="20"/>
                <w:szCs w:val="20"/>
              </w:rPr>
              <w:t>2</w:t>
            </w:r>
          </w:p>
        </w:tc>
        <w:tc>
          <w:tcPr>
            <w:tcW w:w="1612" w:type="pct"/>
            <w:shd w:val="clear" w:color="auto" w:fill="E2EFD9" w:themeFill="accent6" w:themeFillTint="33"/>
            <w:vAlign w:val="center"/>
          </w:tcPr>
          <w:p w14:paraId="5B7BCC63">
            <w:pPr>
              <w:widowControl/>
              <w:spacing w:line="300" w:lineRule="auto"/>
              <w:jc w:val="center"/>
              <w:textAlignment w:val="center"/>
              <w:rPr>
                <w:rFonts w:cs="Times New Roman"/>
                <w:sz w:val="20"/>
                <w:szCs w:val="20"/>
              </w:rPr>
            </w:pPr>
            <w:r>
              <w:rPr>
                <w:rFonts w:hint="eastAsia" w:cs="Times New Roman"/>
                <w:sz w:val="20"/>
                <w:szCs w:val="20"/>
              </w:rPr>
              <w:t>0.90%</w:t>
            </w:r>
          </w:p>
        </w:tc>
      </w:tr>
      <w:tr w14:paraId="61820844">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1793" w:type="pct"/>
            <w:shd w:val="clear" w:color="auto" w:fill="E2EFD9" w:themeFill="accent6" w:themeFillTint="33"/>
            <w:vAlign w:val="center"/>
          </w:tcPr>
          <w:p w14:paraId="0F203EE0">
            <w:pPr>
              <w:widowControl/>
              <w:spacing w:line="300" w:lineRule="auto"/>
              <w:jc w:val="center"/>
              <w:textAlignment w:val="center"/>
              <w:rPr>
                <w:rFonts w:cs="Times New Roman"/>
                <w:b w:val="0"/>
                <w:bCs w:val="0"/>
                <w:sz w:val="20"/>
                <w:szCs w:val="20"/>
              </w:rPr>
            </w:pPr>
            <w:r>
              <w:rPr>
                <w:rFonts w:hint="eastAsia" w:cs="Times New Roman"/>
                <w:b/>
                <w:bCs/>
                <w:sz w:val="20"/>
                <w:szCs w:val="20"/>
              </w:rPr>
              <w:t>锡林郭勒盟</w:t>
            </w:r>
          </w:p>
        </w:tc>
        <w:tc>
          <w:tcPr>
            <w:tcW w:w="1595" w:type="pct"/>
            <w:shd w:val="clear" w:color="auto" w:fill="E2EFD9" w:themeFill="accent6" w:themeFillTint="33"/>
            <w:vAlign w:val="center"/>
          </w:tcPr>
          <w:p w14:paraId="07FC8E19">
            <w:pPr>
              <w:widowControl/>
              <w:spacing w:line="300" w:lineRule="auto"/>
              <w:jc w:val="center"/>
              <w:textAlignment w:val="center"/>
              <w:rPr>
                <w:rFonts w:cs="Times New Roman"/>
                <w:sz w:val="20"/>
                <w:szCs w:val="20"/>
              </w:rPr>
            </w:pPr>
            <w:r>
              <w:rPr>
                <w:rFonts w:hint="eastAsia" w:cs="Times New Roman"/>
                <w:sz w:val="20"/>
                <w:szCs w:val="20"/>
              </w:rPr>
              <w:t>1</w:t>
            </w:r>
          </w:p>
        </w:tc>
        <w:tc>
          <w:tcPr>
            <w:tcW w:w="1612" w:type="pct"/>
            <w:shd w:val="clear" w:color="auto" w:fill="E2EFD9" w:themeFill="accent6" w:themeFillTint="33"/>
            <w:vAlign w:val="center"/>
          </w:tcPr>
          <w:p w14:paraId="76BB96B6">
            <w:pPr>
              <w:widowControl/>
              <w:spacing w:line="300" w:lineRule="auto"/>
              <w:jc w:val="center"/>
              <w:textAlignment w:val="center"/>
              <w:rPr>
                <w:rFonts w:cs="Times New Roman"/>
                <w:sz w:val="20"/>
                <w:szCs w:val="20"/>
              </w:rPr>
            </w:pPr>
            <w:r>
              <w:rPr>
                <w:rFonts w:hint="eastAsia" w:cs="Times New Roman"/>
                <w:sz w:val="20"/>
                <w:szCs w:val="20"/>
              </w:rPr>
              <w:t>0.45%</w:t>
            </w:r>
          </w:p>
        </w:tc>
      </w:tr>
      <w:tr w14:paraId="74A2CC77">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1793" w:type="pct"/>
            <w:shd w:val="clear" w:color="auto" w:fill="E2EFD9" w:themeFill="accent6" w:themeFillTint="33"/>
            <w:vAlign w:val="center"/>
          </w:tcPr>
          <w:p w14:paraId="7C7BD146">
            <w:pPr>
              <w:widowControl/>
              <w:spacing w:line="300" w:lineRule="auto"/>
              <w:jc w:val="center"/>
              <w:textAlignment w:val="center"/>
              <w:rPr>
                <w:rFonts w:cs="Times New Roman"/>
                <w:b w:val="0"/>
                <w:bCs w:val="0"/>
                <w:sz w:val="20"/>
                <w:szCs w:val="20"/>
              </w:rPr>
            </w:pPr>
            <w:r>
              <w:rPr>
                <w:rFonts w:hint="eastAsia" w:cs="Times New Roman"/>
                <w:b/>
                <w:bCs/>
                <w:sz w:val="20"/>
                <w:szCs w:val="20"/>
              </w:rPr>
              <w:t>赤峰市</w:t>
            </w:r>
          </w:p>
        </w:tc>
        <w:tc>
          <w:tcPr>
            <w:tcW w:w="1595" w:type="pct"/>
            <w:shd w:val="clear" w:color="auto" w:fill="E2EFD9" w:themeFill="accent6" w:themeFillTint="33"/>
            <w:vAlign w:val="center"/>
          </w:tcPr>
          <w:p w14:paraId="74AECFC4">
            <w:pPr>
              <w:widowControl/>
              <w:spacing w:line="300" w:lineRule="auto"/>
              <w:jc w:val="center"/>
              <w:textAlignment w:val="center"/>
              <w:rPr>
                <w:rFonts w:cs="Times New Roman"/>
                <w:sz w:val="20"/>
                <w:szCs w:val="20"/>
              </w:rPr>
            </w:pPr>
            <w:r>
              <w:rPr>
                <w:rFonts w:hint="eastAsia" w:cs="Times New Roman"/>
                <w:sz w:val="20"/>
                <w:szCs w:val="20"/>
              </w:rPr>
              <w:t>1</w:t>
            </w:r>
          </w:p>
        </w:tc>
        <w:tc>
          <w:tcPr>
            <w:tcW w:w="1612" w:type="pct"/>
            <w:shd w:val="clear" w:color="auto" w:fill="E2EFD9" w:themeFill="accent6" w:themeFillTint="33"/>
            <w:vAlign w:val="center"/>
          </w:tcPr>
          <w:p w14:paraId="0671237F">
            <w:pPr>
              <w:widowControl/>
              <w:spacing w:line="300" w:lineRule="auto"/>
              <w:jc w:val="center"/>
              <w:textAlignment w:val="center"/>
              <w:rPr>
                <w:rFonts w:cs="Times New Roman"/>
                <w:sz w:val="20"/>
                <w:szCs w:val="20"/>
              </w:rPr>
            </w:pPr>
            <w:r>
              <w:rPr>
                <w:rFonts w:hint="eastAsia" w:cs="Times New Roman"/>
                <w:sz w:val="20"/>
                <w:szCs w:val="20"/>
              </w:rPr>
              <w:t>0.45%</w:t>
            </w:r>
          </w:p>
        </w:tc>
      </w:tr>
      <w:tr w14:paraId="01240919">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1793" w:type="pct"/>
            <w:shd w:val="clear" w:color="auto" w:fill="E2EFD9" w:themeFill="accent6" w:themeFillTint="33"/>
            <w:vAlign w:val="center"/>
          </w:tcPr>
          <w:p w14:paraId="66F259B7">
            <w:pPr>
              <w:widowControl/>
              <w:spacing w:line="300" w:lineRule="auto"/>
              <w:jc w:val="center"/>
              <w:textAlignment w:val="center"/>
              <w:rPr>
                <w:rFonts w:cs="Times New Roman"/>
                <w:b w:val="0"/>
                <w:bCs w:val="0"/>
                <w:sz w:val="20"/>
                <w:szCs w:val="20"/>
              </w:rPr>
            </w:pPr>
            <w:r>
              <w:rPr>
                <w:rFonts w:hint="eastAsia" w:cs="Times New Roman"/>
                <w:b/>
                <w:bCs/>
                <w:sz w:val="20"/>
                <w:szCs w:val="20"/>
              </w:rPr>
              <w:t>合计</w:t>
            </w:r>
          </w:p>
        </w:tc>
        <w:tc>
          <w:tcPr>
            <w:tcW w:w="1595" w:type="pct"/>
            <w:shd w:val="clear" w:color="auto" w:fill="E2EFD9" w:themeFill="accent6" w:themeFillTint="33"/>
            <w:vAlign w:val="center"/>
          </w:tcPr>
          <w:p w14:paraId="5B4E3235">
            <w:pPr>
              <w:widowControl/>
              <w:spacing w:line="300" w:lineRule="auto"/>
              <w:jc w:val="center"/>
              <w:textAlignment w:val="center"/>
              <w:rPr>
                <w:rFonts w:cs="Times New Roman"/>
                <w:sz w:val="20"/>
                <w:szCs w:val="20"/>
              </w:rPr>
            </w:pPr>
            <w:r>
              <w:rPr>
                <w:rFonts w:hint="eastAsia" w:cs="Times New Roman"/>
                <w:sz w:val="20"/>
                <w:szCs w:val="20"/>
              </w:rPr>
              <w:t>222</w:t>
            </w:r>
          </w:p>
        </w:tc>
        <w:tc>
          <w:tcPr>
            <w:tcW w:w="1612" w:type="pct"/>
            <w:shd w:val="clear" w:color="auto" w:fill="E2EFD9" w:themeFill="accent6" w:themeFillTint="33"/>
            <w:vAlign w:val="center"/>
          </w:tcPr>
          <w:p w14:paraId="0A5262A4">
            <w:pPr>
              <w:widowControl/>
              <w:spacing w:line="300" w:lineRule="auto"/>
              <w:jc w:val="center"/>
              <w:textAlignment w:val="center"/>
              <w:rPr>
                <w:rFonts w:cs="Times New Roman"/>
                <w:sz w:val="20"/>
                <w:szCs w:val="20"/>
              </w:rPr>
            </w:pPr>
            <w:r>
              <w:rPr>
                <w:rFonts w:hint="eastAsia" w:cs="Times New Roman"/>
                <w:sz w:val="20"/>
                <w:szCs w:val="20"/>
              </w:rPr>
              <w:t>100%</w:t>
            </w:r>
          </w:p>
        </w:tc>
      </w:tr>
      <w:bookmarkEnd w:id="1"/>
    </w:tbl>
    <w:p w14:paraId="3B9DBC0B">
      <w:pPr>
        <w:ind w:firstLine="640" w:firstLineChars="200"/>
        <w:jc w:val="center"/>
        <w:rPr>
          <w:rFonts w:hint="eastAsia" w:ascii="仿宋" w:hAnsi="仿宋" w:eastAsia="仿宋" w:cs="仿宋"/>
          <w:sz w:val="32"/>
          <w:szCs w:val="32"/>
        </w:rPr>
      </w:pPr>
      <w:r>
        <w:rPr>
          <w:rFonts w:hint="eastAsia" w:ascii="仿宋" w:hAnsi="仿宋" w:eastAsia="仿宋" w:cs="仿宋"/>
          <w:color w:val="333333"/>
          <w:sz w:val="32"/>
          <w:szCs w:val="32"/>
        </w:rPr>
        <w:t>区外就业地分布</w:t>
      </w:r>
    </w:p>
    <w:tbl>
      <w:tblPr>
        <w:tblStyle w:val="27"/>
        <w:tblW w:w="5000" w:type="pct"/>
        <w:tblInd w:w="0" w:type="dxa"/>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Layout w:type="autofit"/>
        <w:tblCellMar>
          <w:top w:w="0" w:type="dxa"/>
          <w:left w:w="108" w:type="dxa"/>
          <w:bottom w:w="0" w:type="dxa"/>
          <w:right w:w="108" w:type="dxa"/>
        </w:tblCellMar>
      </w:tblPr>
      <w:tblGrid>
        <w:gridCol w:w="3056"/>
        <w:gridCol w:w="2719"/>
        <w:gridCol w:w="2747"/>
      </w:tblGrid>
      <w:tr w14:paraId="57A89725">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1793" w:type="pct"/>
            <w:tcBorders>
              <w:top w:val="single" w:color="70AD47" w:themeColor="accent6" w:sz="4" w:space="0"/>
              <w:left w:val="single" w:color="70AD47" w:themeColor="accent6" w:sz="4" w:space="0"/>
              <w:bottom w:val="single" w:color="70AD47" w:themeColor="accent6" w:sz="4" w:space="0"/>
              <w:right w:val="nil"/>
              <w:insideH w:val="single" w:sz="4" w:space="0"/>
              <w:insideV w:val="nil"/>
            </w:tcBorders>
            <w:shd w:val="clear" w:color="auto" w:fill="70AD47" w:themeFill="accent6"/>
            <w:vAlign w:val="center"/>
          </w:tcPr>
          <w:p w14:paraId="30EF7CD6">
            <w:pPr>
              <w:spacing w:line="300" w:lineRule="auto"/>
              <w:jc w:val="center"/>
              <w:rPr>
                <w:rFonts w:ascii="宋体" w:hAnsi="宋体" w:cs="宋体"/>
                <w:b w:val="0"/>
                <w:bCs w:val="0"/>
                <w:color w:val="FFFFFF" w:themeColor="background1"/>
                <w:sz w:val="20"/>
                <w:szCs w:val="20"/>
                <w14:textFill>
                  <w14:solidFill>
                    <w14:schemeClr w14:val="bg1"/>
                  </w14:solidFill>
                </w14:textFill>
              </w:rPr>
            </w:pPr>
            <w:r>
              <w:rPr>
                <w:rFonts w:hint="eastAsia" w:ascii="宋体" w:hAnsi="宋体" w:cs="宋体"/>
                <w:b/>
                <w:bCs/>
                <w:color w:val="auto"/>
                <w:sz w:val="20"/>
                <w:szCs w:val="20"/>
              </w:rPr>
              <w:t>区外地区</w:t>
            </w:r>
          </w:p>
        </w:tc>
        <w:tc>
          <w:tcPr>
            <w:tcW w:w="1595" w:type="pct"/>
            <w:tcBorders>
              <w:top w:val="single" w:color="70AD47" w:themeColor="accent6" w:sz="4" w:space="0"/>
              <w:bottom w:val="single" w:color="70AD47" w:themeColor="accent6" w:sz="4" w:space="0"/>
              <w:right w:val="nil"/>
              <w:insideH w:val="single" w:sz="4" w:space="0"/>
              <w:insideV w:val="nil"/>
            </w:tcBorders>
            <w:shd w:val="clear" w:color="auto" w:fill="70AD47" w:themeFill="accent6"/>
            <w:vAlign w:val="center"/>
          </w:tcPr>
          <w:p w14:paraId="210BD53C">
            <w:pPr>
              <w:spacing w:line="300" w:lineRule="auto"/>
              <w:jc w:val="center"/>
              <w:rPr>
                <w:rFonts w:ascii="宋体" w:hAnsi="宋体" w:cs="宋体"/>
                <w:b w:val="0"/>
                <w:bCs w:val="0"/>
                <w:color w:val="FFFFFF" w:themeColor="background1"/>
                <w:sz w:val="20"/>
                <w:szCs w:val="20"/>
                <w14:textFill>
                  <w14:solidFill>
                    <w14:schemeClr w14:val="bg1"/>
                  </w14:solidFill>
                </w14:textFill>
              </w:rPr>
            </w:pPr>
            <w:r>
              <w:rPr>
                <w:rFonts w:hint="eastAsia" w:ascii="宋体" w:hAnsi="宋体" w:cs="宋体"/>
                <w:b/>
                <w:bCs/>
                <w:color w:val="auto"/>
                <w:sz w:val="20"/>
                <w:szCs w:val="20"/>
              </w:rPr>
              <w:t>就业人数</w:t>
            </w:r>
          </w:p>
        </w:tc>
        <w:tc>
          <w:tcPr>
            <w:tcW w:w="1612" w:type="pct"/>
            <w:tcBorders>
              <w:top w:val="single" w:color="70AD47" w:themeColor="accent6" w:sz="4" w:space="0"/>
              <w:bottom w:val="single" w:color="70AD47" w:themeColor="accent6" w:sz="4" w:space="0"/>
              <w:right w:val="single" w:color="70AD47" w:themeColor="accent6" w:sz="4" w:space="0"/>
              <w:insideH w:val="single" w:sz="4" w:space="0"/>
              <w:insideV w:val="nil"/>
            </w:tcBorders>
            <w:shd w:val="clear" w:color="auto" w:fill="70AD47" w:themeFill="accent6"/>
            <w:vAlign w:val="center"/>
          </w:tcPr>
          <w:p w14:paraId="7A49219C">
            <w:pPr>
              <w:spacing w:line="300" w:lineRule="auto"/>
              <w:jc w:val="center"/>
              <w:rPr>
                <w:rFonts w:ascii="宋体" w:hAnsi="宋体" w:cs="宋体"/>
                <w:b w:val="0"/>
                <w:bCs w:val="0"/>
                <w:color w:val="FFFFFF" w:themeColor="background1"/>
                <w:sz w:val="20"/>
                <w:szCs w:val="20"/>
                <w14:textFill>
                  <w14:solidFill>
                    <w14:schemeClr w14:val="bg1"/>
                  </w14:solidFill>
                </w14:textFill>
              </w:rPr>
            </w:pPr>
            <w:r>
              <w:rPr>
                <w:rFonts w:hint="eastAsia" w:ascii="宋体" w:hAnsi="宋体" w:cs="宋体"/>
                <w:b/>
                <w:bCs/>
                <w:color w:val="auto"/>
                <w:sz w:val="20"/>
                <w:szCs w:val="20"/>
              </w:rPr>
              <w:t>占比</w:t>
            </w:r>
          </w:p>
        </w:tc>
      </w:tr>
      <w:tr w14:paraId="6BCD48B3">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1793" w:type="pct"/>
            <w:shd w:val="clear" w:color="auto" w:fill="E2EFD9" w:themeFill="accent6" w:themeFillTint="33"/>
            <w:vAlign w:val="center"/>
          </w:tcPr>
          <w:p w14:paraId="45FDAB80">
            <w:pPr>
              <w:widowControl/>
              <w:spacing w:line="300" w:lineRule="auto"/>
              <w:jc w:val="center"/>
              <w:textAlignment w:val="center"/>
              <w:rPr>
                <w:rFonts w:cs="Times New Roman"/>
                <w:b w:val="0"/>
                <w:bCs w:val="0"/>
                <w:sz w:val="20"/>
                <w:szCs w:val="20"/>
              </w:rPr>
            </w:pPr>
            <w:r>
              <w:rPr>
                <w:rFonts w:hint="eastAsia" w:cs="Times New Roman"/>
                <w:b/>
                <w:bCs/>
                <w:sz w:val="20"/>
                <w:szCs w:val="20"/>
              </w:rPr>
              <w:t>北京市</w:t>
            </w:r>
          </w:p>
        </w:tc>
        <w:tc>
          <w:tcPr>
            <w:tcW w:w="1595" w:type="pct"/>
            <w:shd w:val="clear" w:color="auto" w:fill="E2EFD9" w:themeFill="accent6" w:themeFillTint="33"/>
            <w:vAlign w:val="center"/>
          </w:tcPr>
          <w:p w14:paraId="2E3BABC3">
            <w:pPr>
              <w:widowControl/>
              <w:spacing w:line="300" w:lineRule="auto"/>
              <w:jc w:val="center"/>
              <w:textAlignment w:val="center"/>
              <w:rPr>
                <w:rFonts w:cs="Times New Roman"/>
                <w:bCs/>
                <w:sz w:val="20"/>
                <w:szCs w:val="20"/>
              </w:rPr>
            </w:pPr>
            <w:r>
              <w:rPr>
                <w:rFonts w:hint="eastAsia" w:cs="Times New Roman"/>
                <w:bCs/>
                <w:sz w:val="20"/>
                <w:szCs w:val="20"/>
              </w:rPr>
              <w:t>13</w:t>
            </w:r>
          </w:p>
        </w:tc>
        <w:tc>
          <w:tcPr>
            <w:tcW w:w="1612" w:type="pct"/>
            <w:shd w:val="clear" w:color="auto" w:fill="E2EFD9" w:themeFill="accent6" w:themeFillTint="33"/>
            <w:vAlign w:val="center"/>
          </w:tcPr>
          <w:p w14:paraId="219CDE67">
            <w:pPr>
              <w:widowControl/>
              <w:spacing w:line="300" w:lineRule="auto"/>
              <w:jc w:val="center"/>
              <w:textAlignment w:val="center"/>
              <w:rPr>
                <w:rFonts w:cs="Times New Roman"/>
                <w:bCs/>
                <w:sz w:val="20"/>
                <w:szCs w:val="20"/>
              </w:rPr>
            </w:pPr>
            <w:r>
              <w:rPr>
                <w:rFonts w:hint="eastAsia" w:cs="Times New Roman"/>
                <w:bCs/>
                <w:sz w:val="20"/>
                <w:szCs w:val="20"/>
              </w:rPr>
              <w:t>29.55%</w:t>
            </w:r>
          </w:p>
        </w:tc>
      </w:tr>
      <w:tr w14:paraId="738D7882">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1793" w:type="pct"/>
            <w:shd w:val="clear" w:color="auto" w:fill="E2EFD9" w:themeFill="accent6" w:themeFillTint="33"/>
            <w:vAlign w:val="center"/>
          </w:tcPr>
          <w:p w14:paraId="1EAE813C">
            <w:pPr>
              <w:widowControl/>
              <w:spacing w:line="300" w:lineRule="auto"/>
              <w:jc w:val="center"/>
              <w:textAlignment w:val="center"/>
              <w:rPr>
                <w:rFonts w:cs="Times New Roman"/>
                <w:b w:val="0"/>
                <w:bCs w:val="0"/>
                <w:sz w:val="20"/>
                <w:szCs w:val="20"/>
              </w:rPr>
            </w:pPr>
            <w:r>
              <w:rPr>
                <w:rFonts w:hint="eastAsia" w:cs="Times New Roman"/>
                <w:b/>
                <w:bCs/>
                <w:sz w:val="20"/>
                <w:szCs w:val="20"/>
              </w:rPr>
              <w:t>上海市</w:t>
            </w:r>
          </w:p>
        </w:tc>
        <w:tc>
          <w:tcPr>
            <w:tcW w:w="1595" w:type="pct"/>
            <w:shd w:val="clear" w:color="auto" w:fill="E2EFD9" w:themeFill="accent6" w:themeFillTint="33"/>
            <w:vAlign w:val="center"/>
          </w:tcPr>
          <w:p w14:paraId="66781164">
            <w:pPr>
              <w:widowControl/>
              <w:spacing w:line="300" w:lineRule="auto"/>
              <w:jc w:val="center"/>
              <w:textAlignment w:val="center"/>
              <w:rPr>
                <w:rFonts w:cs="Times New Roman"/>
                <w:bCs/>
                <w:sz w:val="20"/>
                <w:szCs w:val="20"/>
              </w:rPr>
            </w:pPr>
            <w:r>
              <w:rPr>
                <w:rFonts w:hint="eastAsia" w:cs="Times New Roman"/>
                <w:bCs/>
                <w:sz w:val="20"/>
                <w:szCs w:val="20"/>
              </w:rPr>
              <w:t>10</w:t>
            </w:r>
          </w:p>
        </w:tc>
        <w:tc>
          <w:tcPr>
            <w:tcW w:w="1612" w:type="pct"/>
            <w:shd w:val="clear" w:color="auto" w:fill="E2EFD9" w:themeFill="accent6" w:themeFillTint="33"/>
            <w:vAlign w:val="center"/>
          </w:tcPr>
          <w:p w14:paraId="6ACD7656">
            <w:pPr>
              <w:widowControl/>
              <w:spacing w:line="300" w:lineRule="auto"/>
              <w:jc w:val="center"/>
              <w:textAlignment w:val="center"/>
              <w:rPr>
                <w:rFonts w:cs="Times New Roman"/>
                <w:bCs/>
                <w:sz w:val="20"/>
                <w:szCs w:val="20"/>
              </w:rPr>
            </w:pPr>
            <w:r>
              <w:rPr>
                <w:rFonts w:hint="eastAsia" w:cs="Times New Roman"/>
                <w:bCs/>
                <w:sz w:val="20"/>
                <w:szCs w:val="20"/>
              </w:rPr>
              <w:t>22.73%</w:t>
            </w:r>
          </w:p>
        </w:tc>
      </w:tr>
      <w:tr w14:paraId="7B8F5141">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1793" w:type="pct"/>
            <w:shd w:val="clear" w:color="auto" w:fill="E2EFD9" w:themeFill="accent6" w:themeFillTint="33"/>
            <w:vAlign w:val="center"/>
          </w:tcPr>
          <w:p w14:paraId="11FEC75D">
            <w:pPr>
              <w:widowControl/>
              <w:spacing w:line="300" w:lineRule="auto"/>
              <w:jc w:val="center"/>
              <w:textAlignment w:val="center"/>
              <w:rPr>
                <w:rFonts w:cs="Times New Roman"/>
                <w:b w:val="0"/>
                <w:bCs w:val="0"/>
                <w:sz w:val="20"/>
                <w:szCs w:val="20"/>
              </w:rPr>
            </w:pPr>
            <w:r>
              <w:rPr>
                <w:rFonts w:hint="eastAsia" w:cs="Times New Roman"/>
                <w:b/>
                <w:bCs/>
                <w:sz w:val="20"/>
                <w:szCs w:val="20"/>
              </w:rPr>
              <w:t>浙江省</w:t>
            </w:r>
          </w:p>
        </w:tc>
        <w:tc>
          <w:tcPr>
            <w:tcW w:w="1595" w:type="pct"/>
            <w:shd w:val="clear" w:color="auto" w:fill="E2EFD9" w:themeFill="accent6" w:themeFillTint="33"/>
            <w:vAlign w:val="center"/>
          </w:tcPr>
          <w:p w14:paraId="516BFCFE">
            <w:pPr>
              <w:widowControl/>
              <w:spacing w:line="300" w:lineRule="auto"/>
              <w:jc w:val="center"/>
              <w:textAlignment w:val="center"/>
              <w:rPr>
                <w:rFonts w:cs="Times New Roman"/>
                <w:bCs/>
                <w:sz w:val="20"/>
                <w:szCs w:val="20"/>
              </w:rPr>
            </w:pPr>
            <w:r>
              <w:rPr>
                <w:rFonts w:hint="eastAsia" w:cs="Times New Roman"/>
                <w:bCs/>
                <w:sz w:val="20"/>
                <w:szCs w:val="20"/>
              </w:rPr>
              <w:t>6</w:t>
            </w:r>
          </w:p>
        </w:tc>
        <w:tc>
          <w:tcPr>
            <w:tcW w:w="1612" w:type="pct"/>
            <w:shd w:val="clear" w:color="auto" w:fill="E2EFD9" w:themeFill="accent6" w:themeFillTint="33"/>
            <w:vAlign w:val="center"/>
          </w:tcPr>
          <w:p w14:paraId="59C6312B">
            <w:pPr>
              <w:widowControl/>
              <w:spacing w:line="300" w:lineRule="auto"/>
              <w:jc w:val="center"/>
              <w:textAlignment w:val="center"/>
              <w:rPr>
                <w:rFonts w:cs="Times New Roman"/>
                <w:bCs/>
                <w:sz w:val="20"/>
                <w:szCs w:val="20"/>
              </w:rPr>
            </w:pPr>
            <w:r>
              <w:rPr>
                <w:rFonts w:hint="eastAsia" w:cs="Times New Roman"/>
                <w:bCs/>
                <w:sz w:val="20"/>
                <w:szCs w:val="20"/>
              </w:rPr>
              <w:t>13.64%</w:t>
            </w:r>
          </w:p>
        </w:tc>
      </w:tr>
      <w:tr w14:paraId="14A73223">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1793" w:type="pct"/>
            <w:shd w:val="clear" w:color="auto" w:fill="E2EFD9" w:themeFill="accent6" w:themeFillTint="33"/>
            <w:vAlign w:val="center"/>
          </w:tcPr>
          <w:p w14:paraId="08B2FEC9">
            <w:pPr>
              <w:widowControl/>
              <w:spacing w:line="300" w:lineRule="auto"/>
              <w:jc w:val="center"/>
              <w:textAlignment w:val="center"/>
              <w:rPr>
                <w:rFonts w:cs="Times New Roman"/>
                <w:b w:val="0"/>
                <w:bCs w:val="0"/>
                <w:sz w:val="20"/>
                <w:szCs w:val="20"/>
              </w:rPr>
            </w:pPr>
            <w:r>
              <w:rPr>
                <w:rFonts w:hint="eastAsia" w:cs="Times New Roman"/>
                <w:b/>
                <w:bCs/>
                <w:sz w:val="20"/>
                <w:szCs w:val="20"/>
              </w:rPr>
              <w:t>宁夏回族自治区</w:t>
            </w:r>
          </w:p>
        </w:tc>
        <w:tc>
          <w:tcPr>
            <w:tcW w:w="1595" w:type="pct"/>
            <w:shd w:val="clear" w:color="auto" w:fill="E2EFD9" w:themeFill="accent6" w:themeFillTint="33"/>
            <w:vAlign w:val="center"/>
          </w:tcPr>
          <w:p w14:paraId="1C8D3535">
            <w:pPr>
              <w:widowControl/>
              <w:spacing w:line="300" w:lineRule="auto"/>
              <w:jc w:val="center"/>
              <w:textAlignment w:val="center"/>
              <w:rPr>
                <w:rFonts w:cs="Times New Roman"/>
                <w:bCs/>
                <w:sz w:val="20"/>
                <w:szCs w:val="20"/>
              </w:rPr>
            </w:pPr>
            <w:r>
              <w:rPr>
                <w:rFonts w:hint="eastAsia" w:cs="Times New Roman"/>
                <w:bCs/>
                <w:sz w:val="20"/>
                <w:szCs w:val="20"/>
              </w:rPr>
              <w:t>2</w:t>
            </w:r>
          </w:p>
        </w:tc>
        <w:tc>
          <w:tcPr>
            <w:tcW w:w="1612" w:type="pct"/>
            <w:shd w:val="clear" w:color="auto" w:fill="E2EFD9" w:themeFill="accent6" w:themeFillTint="33"/>
            <w:vAlign w:val="center"/>
          </w:tcPr>
          <w:p w14:paraId="7EF580DE">
            <w:pPr>
              <w:widowControl/>
              <w:spacing w:line="300" w:lineRule="auto"/>
              <w:jc w:val="center"/>
              <w:textAlignment w:val="center"/>
              <w:rPr>
                <w:rFonts w:cs="Times New Roman"/>
                <w:bCs/>
                <w:sz w:val="20"/>
                <w:szCs w:val="20"/>
              </w:rPr>
            </w:pPr>
            <w:r>
              <w:rPr>
                <w:rFonts w:hint="eastAsia" w:cs="Times New Roman"/>
                <w:bCs/>
                <w:sz w:val="20"/>
                <w:szCs w:val="20"/>
              </w:rPr>
              <w:t>4.55%</w:t>
            </w:r>
          </w:p>
        </w:tc>
      </w:tr>
      <w:tr w14:paraId="3327D4FF">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1793" w:type="pct"/>
            <w:shd w:val="clear" w:color="auto" w:fill="E2EFD9" w:themeFill="accent6" w:themeFillTint="33"/>
            <w:vAlign w:val="center"/>
          </w:tcPr>
          <w:p w14:paraId="19406AA3">
            <w:pPr>
              <w:widowControl/>
              <w:spacing w:line="300" w:lineRule="auto"/>
              <w:jc w:val="center"/>
              <w:textAlignment w:val="center"/>
              <w:rPr>
                <w:rFonts w:cs="Times New Roman"/>
                <w:b w:val="0"/>
                <w:bCs w:val="0"/>
                <w:sz w:val="20"/>
                <w:szCs w:val="20"/>
              </w:rPr>
            </w:pPr>
            <w:r>
              <w:rPr>
                <w:rFonts w:hint="eastAsia" w:cs="Times New Roman"/>
                <w:b/>
                <w:bCs/>
                <w:sz w:val="20"/>
                <w:szCs w:val="20"/>
              </w:rPr>
              <w:t>四川省</w:t>
            </w:r>
          </w:p>
        </w:tc>
        <w:tc>
          <w:tcPr>
            <w:tcW w:w="1595" w:type="pct"/>
            <w:shd w:val="clear" w:color="auto" w:fill="E2EFD9" w:themeFill="accent6" w:themeFillTint="33"/>
            <w:vAlign w:val="center"/>
          </w:tcPr>
          <w:p w14:paraId="13482B18">
            <w:pPr>
              <w:widowControl/>
              <w:spacing w:line="300" w:lineRule="auto"/>
              <w:jc w:val="center"/>
              <w:textAlignment w:val="center"/>
              <w:rPr>
                <w:rFonts w:cs="Times New Roman"/>
                <w:bCs/>
                <w:sz w:val="20"/>
                <w:szCs w:val="20"/>
              </w:rPr>
            </w:pPr>
            <w:r>
              <w:rPr>
                <w:rFonts w:hint="eastAsia" w:cs="Times New Roman"/>
                <w:bCs/>
                <w:sz w:val="20"/>
                <w:szCs w:val="20"/>
              </w:rPr>
              <w:t>2</w:t>
            </w:r>
          </w:p>
        </w:tc>
        <w:tc>
          <w:tcPr>
            <w:tcW w:w="1612" w:type="pct"/>
            <w:shd w:val="clear" w:color="auto" w:fill="E2EFD9" w:themeFill="accent6" w:themeFillTint="33"/>
            <w:vAlign w:val="center"/>
          </w:tcPr>
          <w:p w14:paraId="6A63925A">
            <w:pPr>
              <w:widowControl/>
              <w:spacing w:line="300" w:lineRule="auto"/>
              <w:jc w:val="center"/>
              <w:textAlignment w:val="center"/>
              <w:rPr>
                <w:rFonts w:cs="Times New Roman"/>
                <w:bCs/>
                <w:sz w:val="20"/>
                <w:szCs w:val="20"/>
              </w:rPr>
            </w:pPr>
            <w:r>
              <w:rPr>
                <w:rFonts w:hint="eastAsia" w:cs="Times New Roman"/>
                <w:bCs/>
                <w:sz w:val="20"/>
                <w:szCs w:val="20"/>
              </w:rPr>
              <w:t>4.55%</w:t>
            </w:r>
          </w:p>
        </w:tc>
      </w:tr>
      <w:tr w14:paraId="487F0E70">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1793" w:type="pct"/>
            <w:shd w:val="clear" w:color="auto" w:fill="E2EFD9" w:themeFill="accent6" w:themeFillTint="33"/>
            <w:vAlign w:val="center"/>
          </w:tcPr>
          <w:p w14:paraId="0A738315">
            <w:pPr>
              <w:widowControl/>
              <w:spacing w:line="300" w:lineRule="auto"/>
              <w:jc w:val="center"/>
              <w:textAlignment w:val="center"/>
              <w:rPr>
                <w:rFonts w:cs="Times New Roman"/>
                <w:b w:val="0"/>
                <w:bCs w:val="0"/>
                <w:sz w:val="20"/>
                <w:szCs w:val="20"/>
              </w:rPr>
            </w:pPr>
            <w:r>
              <w:rPr>
                <w:rFonts w:hint="eastAsia" w:cs="Times New Roman"/>
                <w:b/>
                <w:bCs/>
                <w:sz w:val="20"/>
                <w:szCs w:val="20"/>
              </w:rPr>
              <w:t>河北省</w:t>
            </w:r>
          </w:p>
        </w:tc>
        <w:tc>
          <w:tcPr>
            <w:tcW w:w="1595" w:type="pct"/>
            <w:shd w:val="clear" w:color="auto" w:fill="E2EFD9" w:themeFill="accent6" w:themeFillTint="33"/>
            <w:vAlign w:val="center"/>
          </w:tcPr>
          <w:p w14:paraId="46F35CE9">
            <w:pPr>
              <w:widowControl/>
              <w:spacing w:line="300" w:lineRule="auto"/>
              <w:jc w:val="center"/>
              <w:textAlignment w:val="center"/>
              <w:rPr>
                <w:rFonts w:cs="Times New Roman"/>
                <w:bCs/>
                <w:sz w:val="20"/>
                <w:szCs w:val="20"/>
              </w:rPr>
            </w:pPr>
            <w:r>
              <w:rPr>
                <w:rFonts w:hint="eastAsia" w:cs="Times New Roman"/>
                <w:bCs/>
                <w:sz w:val="20"/>
                <w:szCs w:val="20"/>
              </w:rPr>
              <w:t>2</w:t>
            </w:r>
          </w:p>
        </w:tc>
        <w:tc>
          <w:tcPr>
            <w:tcW w:w="1612" w:type="pct"/>
            <w:shd w:val="clear" w:color="auto" w:fill="E2EFD9" w:themeFill="accent6" w:themeFillTint="33"/>
            <w:vAlign w:val="center"/>
          </w:tcPr>
          <w:p w14:paraId="20A185B7">
            <w:pPr>
              <w:widowControl/>
              <w:spacing w:line="300" w:lineRule="auto"/>
              <w:jc w:val="center"/>
              <w:textAlignment w:val="center"/>
              <w:rPr>
                <w:rFonts w:cs="Times New Roman"/>
                <w:bCs/>
                <w:sz w:val="20"/>
                <w:szCs w:val="20"/>
              </w:rPr>
            </w:pPr>
            <w:r>
              <w:rPr>
                <w:rFonts w:hint="eastAsia" w:cs="Times New Roman"/>
                <w:bCs/>
                <w:sz w:val="20"/>
                <w:szCs w:val="20"/>
              </w:rPr>
              <w:t>4.55%</w:t>
            </w:r>
          </w:p>
        </w:tc>
      </w:tr>
      <w:tr w14:paraId="2DD14F51">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1793" w:type="pct"/>
            <w:shd w:val="clear" w:color="auto" w:fill="E2EFD9" w:themeFill="accent6" w:themeFillTint="33"/>
            <w:vAlign w:val="center"/>
          </w:tcPr>
          <w:p w14:paraId="45897C71">
            <w:pPr>
              <w:widowControl/>
              <w:spacing w:line="300" w:lineRule="auto"/>
              <w:jc w:val="center"/>
              <w:textAlignment w:val="center"/>
              <w:rPr>
                <w:rFonts w:cs="Times New Roman"/>
                <w:b w:val="0"/>
                <w:bCs w:val="0"/>
                <w:sz w:val="20"/>
                <w:szCs w:val="20"/>
              </w:rPr>
            </w:pPr>
            <w:r>
              <w:rPr>
                <w:rFonts w:hint="eastAsia" w:cs="Times New Roman"/>
                <w:b/>
                <w:bCs/>
                <w:sz w:val="20"/>
                <w:szCs w:val="20"/>
              </w:rPr>
              <w:t>甘肃省</w:t>
            </w:r>
          </w:p>
        </w:tc>
        <w:tc>
          <w:tcPr>
            <w:tcW w:w="1595" w:type="pct"/>
            <w:shd w:val="clear" w:color="auto" w:fill="E2EFD9" w:themeFill="accent6" w:themeFillTint="33"/>
            <w:vAlign w:val="center"/>
          </w:tcPr>
          <w:p w14:paraId="67710B6A">
            <w:pPr>
              <w:widowControl/>
              <w:spacing w:line="300" w:lineRule="auto"/>
              <w:jc w:val="center"/>
              <w:textAlignment w:val="center"/>
              <w:rPr>
                <w:rFonts w:cs="Times New Roman"/>
                <w:bCs/>
                <w:sz w:val="20"/>
                <w:szCs w:val="20"/>
              </w:rPr>
            </w:pPr>
            <w:r>
              <w:rPr>
                <w:rFonts w:hint="eastAsia" w:cs="Times New Roman"/>
                <w:bCs/>
                <w:sz w:val="20"/>
                <w:szCs w:val="20"/>
              </w:rPr>
              <w:t>1</w:t>
            </w:r>
          </w:p>
        </w:tc>
        <w:tc>
          <w:tcPr>
            <w:tcW w:w="1612" w:type="pct"/>
            <w:shd w:val="clear" w:color="auto" w:fill="E2EFD9" w:themeFill="accent6" w:themeFillTint="33"/>
            <w:vAlign w:val="center"/>
          </w:tcPr>
          <w:p w14:paraId="27A906B6">
            <w:pPr>
              <w:widowControl/>
              <w:spacing w:line="300" w:lineRule="auto"/>
              <w:jc w:val="center"/>
              <w:textAlignment w:val="center"/>
              <w:rPr>
                <w:rFonts w:cs="Times New Roman"/>
                <w:bCs/>
                <w:sz w:val="20"/>
                <w:szCs w:val="20"/>
              </w:rPr>
            </w:pPr>
            <w:r>
              <w:rPr>
                <w:rFonts w:hint="eastAsia" w:cs="Times New Roman"/>
                <w:bCs/>
                <w:sz w:val="20"/>
                <w:szCs w:val="20"/>
              </w:rPr>
              <w:t>2.27%</w:t>
            </w:r>
          </w:p>
        </w:tc>
      </w:tr>
      <w:tr w14:paraId="3E11B4D6">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1793" w:type="pct"/>
            <w:shd w:val="clear" w:color="auto" w:fill="E2EFD9" w:themeFill="accent6" w:themeFillTint="33"/>
            <w:vAlign w:val="center"/>
          </w:tcPr>
          <w:p w14:paraId="7E4657B1">
            <w:pPr>
              <w:widowControl/>
              <w:spacing w:line="300" w:lineRule="auto"/>
              <w:jc w:val="center"/>
              <w:textAlignment w:val="center"/>
              <w:rPr>
                <w:rFonts w:cs="Times New Roman"/>
                <w:b w:val="0"/>
                <w:bCs w:val="0"/>
                <w:sz w:val="20"/>
                <w:szCs w:val="20"/>
              </w:rPr>
            </w:pPr>
            <w:r>
              <w:rPr>
                <w:rFonts w:hint="eastAsia" w:cs="Times New Roman"/>
                <w:b/>
                <w:bCs/>
                <w:sz w:val="20"/>
                <w:szCs w:val="20"/>
              </w:rPr>
              <w:t>云南省</w:t>
            </w:r>
          </w:p>
        </w:tc>
        <w:tc>
          <w:tcPr>
            <w:tcW w:w="1595" w:type="pct"/>
            <w:shd w:val="clear" w:color="auto" w:fill="E2EFD9" w:themeFill="accent6" w:themeFillTint="33"/>
            <w:vAlign w:val="center"/>
          </w:tcPr>
          <w:p w14:paraId="7B7D423E">
            <w:pPr>
              <w:widowControl/>
              <w:spacing w:line="300" w:lineRule="auto"/>
              <w:jc w:val="center"/>
              <w:textAlignment w:val="center"/>
              <w:rPr>
                <w:rFonts w:cs="Times New Roman"/>
                <w:bCs/>
                <w:sz w:val="20"/>
                <w:szCs w:val="20"/>
              </w:rPr>
            </w:pPr>
            <w:r>
              <w:rPr>
                <w:rFonts w:hint="eastAsia" w:cs="Times New Roman"/>
                <w:bCs/>
                <w:sz w:val="20"/>
                <w:szCs w:val="20"/>
              </w:rPr>
              <w:t>1</w:t>
            </w:r>
          </w:p>
        </w:tc>
        <w:tc>
          <w:tcPr>
            <w:tcW w:w="1612" w:type="pct"/>
            <w:shd w:val="clear" w:color="auto" w:fill="E2EFD9" w:themeFill="accent6" w:themeFillTint="33"/>
            <w:vAlign w:val="center"/>
          </w:tcPr>
          <w:p w14:paraId="41E287EB">
            <w:pPr>
              <w:widowControl/>
              <w:spacing w:line="300" w:lineRule="auto"/>
              <w:jc w:val="center"/>
              <w:textAlignment w:val="center"/>
              <w:rPr>
                <w:rFonts w:cs="Times New Roman"/>
                <w:bCs/>
                <w:sz w:val="20"/>
                <w:szCs w:val="20"/>
              </w:rPr>
            </w:pPr>
            <w:r>
              <w:rPr>
                <w:rFonts w:hint="eastAsia" w:cs="Times New Roman"/>
                <w:bCs/>
                <w:sz w:val="20"/>
                <w:szCs w:val="20"/>
              </w:rPr>
              <w:t>2.27%</w:t>
            </w:r>
          </w:p>
        </w:tc>
      </w:tr>
      <w:tr w14:paraId="423C9CD6">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1793" w:type="pct"/>
            <w:shd w:val="clear" w:color="auto" w:fill="E2EFD9" w:themeFill="accent6" w:themeFillTint="33"/>
            <w:vAlign w:val="center"/>
          </w:tcPr>
          <w:p w14:paraId="2F36AD7F">
            <w:pPr>
              <w:widowControl/>
              <w:spacing w:line="300" w:lineRule="auto"/>
              <w:jc w:val="center"/>
              <w:textAlignment w:val="center"/>
              <w:rPr>
                <w:rFonts w:cs="Times New Roman"/>
                <w:b w:val="0"/>
                <w:bCs w:val="0"/>
                <w:sz w:val="20"/>
                <w:szCs w:val="20"/>
              </w:rPr>
            </w:pPr>
            <w:r>
              <w:rPr>
                <w:rFonts w:hint="eastAsia" w:cs="Times New Roman"/>
                <w:b/>
                <w:bCs/>
                <w:sz w:val="20"/>
                <w:szCs w:val="20"/>
              </w:rPr>
              <w:t>湖北省</w:t>
            </w:r>
          </w:p>
        </w:tc>
        <w:tc>
          <w:tcPr>
            <w:tcW w:w="1595" w:type="pct"/>
            <w:shd w:val="clear" w:color="auto" w:fill="E2EFD9" w:themeFill="accent6" w:themeFillTint="33"/>
            <w:vAlign w:val="center"/>
          </w:tcPr>
          <w:p w14:paraId="58E12CA4">
            <w:pPr>
              <w:widowControl/>
              <w:spacing w:line="300" w:lineRule="auto"/>
              <w:jc w:val="center"/>
              <w:textAlignment w:val="center"/>
              <w:rPr>
                <w:rFonts w:cs="Times New Roman"/>
                <w:bCs/>
                <w:sz w:val="20"/>
                <w:szCs w:val="20"/>
              </w:rPr>
            </w:pPr>
            <w:r>
              <w:rPr>
                <w:rFonts w:hint="eastAsia" w:cs="Times New Roman"/>
                <w:bCs/>
                <w:sz w:val="20"/>
                <w:szCs w:val="20"/>
              </w:rPr>
              <w:t>1</w:t>
            </w:r>
          </w:p>
        </w:tc>
        <w:tc>
          <w:tcPr>
            <w:tcW w:w="1612" w:type="pct"/>
            <w:shd w:val="clear" w:color="auto" w:fill="E2EFD9" w:themeFill="accent6" w:themeFillTint="33"/>
            <w:vAlign w:val="center"/>
          </w:tcPr>
          <w:p w14:paraId="57C183F8">
            <w:pPr>
              <w:widowControl/>
              <w:spacing w:line="300" w:lineRule="auto"/>
              <w:jc w:val="center"/>
              <w:textAlignment w:val="center"/>
              <w:rPr>
                <w:rFonts w:cs="Times New Roman"/>
                <w:bCs/>
                <w:sz w:val="20"/>
                <w:szCs w:val="20"/>
              </w:rPr>
            </w:pPr>
            <w:r>
              <w:rPr>
                <w:rFonts w:hint="eastAsia" w:cs="Times New Roman"/>
                <w:bCs/>
                <w:sz w:val="20"/>
                <w:szCs w:val="20"/>
              </w:rPr>
              <w:t>2.27%</w:t>
            </w:r>
          </w:p>
        </w:tc>
      </w:tr>
      <w:tr w14:paraId="4C736216">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1793" w:type="pct"/>
            <w:shd w:val="clear" w:color="auto" w:fill="E2EFD9" w:themeFill="accent6" w:themeFillTint="33"/>
            <w:vAlign w:val="center"/>
          </w:tcPr>
          <w:p w14:paraId="6DF6D6C1">
            <w:pPr>
              <w:widowControl/>
              <w:spacing w:line="300" w:lineRule="auto"/>
              <w:jc w:val="center"/>
              <w:textAlignment w:val="center"/>
              <w:rPr>
                <w:rFonts w:cs="Times New Roman"/>
                <w:b w:val="0"/>
                <w:bCs w:val="0"/>
                <w:sz w:val="20"/>
                <w:szCs w:val="20"/>
              </w:rPr>
            </w:pPr>
            <w:r>
              <w:rPr>
                <w:rFonts w:hint="eastAsia" w:cs="Times New Roman"/>
                <w:b/>
                <w:bCs/>
                <w:sz w:val="20"/>
                <w:szCs w:val="20"/>
              </w:rPr>
              <w:t>湖南省</w:t>
            </w:r>
          </w:p>
        </w:tc>
        <w:tc>
          <w:tcPr>
            <w:tcW w:w="1595" w:type="pct"/>
            <w:shd w:val="clear" w:color="auto" w:fill="E2EFD9" w:themeFill="accent6" w:themeFillTint="33"/>
            <w:vAlign w:val="center"/>
          </w:tcPr>
          <w:p w14:paraId="0C750DFC">
            <w:pPr>
              <w:widowControl/>
              <w:spacing w:line="300" w:lineRule="auto"/>
              <w:jc w:val="center"/>
              <w:textAlignment w:val="center"/>
              <w:rPr>
                <w:rFonts w:cs="Times New Roman"/>
                <w:bCs/>
                <w:sz w:val="20"/>
                <w:szCs w:val="20"/>
              </w:rPr>
            </w:pPr>
            <w:r>
              <w:rPr>
                <w:rFonts w:hint="eastAsia" w:cs="Times New Roman"/>
                <w:bCs/>
                <w:sz w:val="20"/>
                <w:szCs w:val="20"/>
              </w:rPr>
              <w:t>1</w:t>
            </w:r>
          </w:p>
        </w:tc>
        <w:tc>
          <w:tcPr>
            <w:tcW w:w="1612" w:type="pct"/>
            <w:shd w:val="clear" w:color="auto" w:fill="E2EFD9" w:themeFill="accent6" w:themeFillTint="33"/>
            <w:vAlign w:val="center"/>
          </w:tcPr>
          <w:p w14:paraId="612FF5B2">
            <w:pPr>
              <w:widowControl/>
              <w:spacing w:line="300" w:lineRule="auto"/>
              <w:jc w:val="center"/>
              <w:textAlignment w:val="center"/>
              <w:rPr>
                <w:rFonts w:cs="Times New Roman"/>
                <w:bCs/>
                <w:sz w:val="20"/>
                <w:szCs w:val="20"/>
              </w:rPr>
            </w:pPr>
            <w:r>
              <w:rPr>
                <w:rFonts w:hint="eastAsia" w:cs="Times New Roman"/>
                <w:bCs/>
                <w:sz w:val="20"/>
                <w:szCs w:val="20"/>
              </w:rPr>
              <w:t>2.27%</w:t>
            </w:r>
          </w:p>
        </w:tc>
      </w:tr>
      <w:tr w14:paraId="57DA41E3">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1793" w:type="pct"/>
            <w:shd w:val="clear" w:color="auto" w:fill="E2EFD9" w:themeFill="accent6" w:themeFillTint="33"/>
            <w:vAlign w:val="center"/>
          </w:tcPr>
          <w:p w14:paraId="5DCAC179">
            <w:pPr>
              <w:widowControl/>
              <w:spacing w:line="300" w:lineRule="auto"/>
              <w:jc w:val="center"/>
              <w:textAlignment w:val="center"/>
              <w:rPr>
                <w:rFonts w:cs="Times New Roman"/>
                <w:b w:val="0"/>
                <w:bCs w:val="0"/>
                <w:sz w:val="20"/>
                <w:szCs w:val="20"/>
              </w:rPr>
            </w:pPr>
            <w:r>
              <w:rPr>
                <w:rFonts w:hint="eastAsia" w:cs="Times New Roman"/>
                <w:b/>
                <w:bCs/>
                <w:sz w:val="20"/>
                <w:szCs w:val="20"/>
              </w:rPr>
              <w:t>西藏自治区</w:t>
            </w:r>
          </w:p>
        </w:tc>
        <w:tc>
          <w:tcPr>
            <w:tcW w:w="1595" w:type="pct"/>
            <w:shd w:val="clear" w:color="auto" w:fill="E2EFD9" w:themeFill="accent6" w:themeFillTint="33"/>
            <w:vAlign w:val="center"/>
          </w:tcPr>
          <w:p w14:paraId="7E197161">
            <w:pPr>
              <w:widowControl/>
              <w:spacing w:line="300" w:lineRule="auto"/>
              <w:jc w:val="center"/>
              <w:textAlignment w:val="center"/>
              <w:rPr>
                <w:rFonts w:cs="Times New Roman"/>
                <w:bCs/>
                <w:sz w:val="20"/>
                <w:szCs w:val="20"/>
              </w:rPr>
            </w:pPr>
            <w:r>
              <w:rPr>
                <w:rFonts w:hint="eastAsia" w:cs="Times New Roman"/>
                <w:bCs/>
                <w:sz w:val="20"/>
                <w:szCs w:val="20"/>
              </w:rPr>
              <w:t>1</w:t>
            </w:r>
          </w:p>
        </w:tc>
        <w:tc>
          <w:tcPr>
            <w:tcW w:w="1612" w:type="pct"/>
            <w:shd w:val="clear" w:color="auto" w:fill="E2EFD9" w:themeFill="accent6" w:themeFillTint="33"/>
            <w:vAlign w:val="center"/>
          </w:tcPr>
          <w:p w14:paraId="782BAB86">
            <w:pPr>
              <w:widowControl/>
              <w:spacing w:line="300" w:lineRule="auto"/>
              <w:jc w:val="center"/>
              <w:textAlignment w:val="center"/>
              <w:rPr>
                <w:rFonts w:cs="Times New Roman"/>
                <w:bCs/>
                <w:sz w:val="20"/>
                <w:szCs w:val="20"/>
              </w:rPr>
            </w:pPr>
            <w:r>
              <w:rPr>
                <w:rFonts w:hint="eastAsia" w:cs="Times New Roman"/>
                <w:bCs/>
                <w:sz w:val="20"/>
                <w:szCs w:val="20"/>
              </w:rPr>
              <w:t>2.27%</w:t>
            </w:r>
          </w:p>
        </w:tc>
      </w:tr>
      <w:tr w14:paraId="6790C995">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1793" w:type="pct"/>
            <w:shd w:val="clear" w:color="auto" w:fill="E2EFD9" w:themeFill="accent6" w:themeFillTint="33"/>
            <w:vAlign w:val="center"/>
          </w:tcPr>
          <w:p w14:paraId="3A9D3266">
            <w:pPr>
              <w:widowControl/>
              <w:spacing w:line="300" w:lineRule="auto"/>
              <w:jc w:val="center"/>
              <w:textAlignment w:val="center"/>
              <w:rPr>
                <w:rFonts w:cs="Times New Roman"/>
                <w:b w:val="0"/>
                <w:bCs w:val="0"/>
                <w:sz w:val="20"/>
                <w:szCs w:val="20"/>
              </w:rPr>
            </w:pPr>
            <w:r>
              <w:rPr>
                <w:rFonts w:hint="eastAsia" w:cs="Times New Roman"/>
                <w:b/>
                <w:bCs/>
                <w:sz w:val="20"/>
                <w:szCs w:val="20"/>
              </w:rPr>
              <w:t>山西省</w:t>
            </w:r>
          </w:p>
        </w:tc>
        <w:tc>
          <w:tcPr>
            <w:tcW w:w="1595" w:type="pct"/>
            <w:shd w:val="clear" w:color="auto" w:fill="E2EFD9" w:themeFill="accent6" w:themeFillTint="33"/>
            <w:vAlign w:val="center"/>
          </w:tcPr>
          <w:p w14:paraId="69EF15C7">
            <w:pPr>
              <w:widowControl/>
              <w:spacing w:line="300" w:lineRule="auto"/>
              <w:jc w:val="center"/>
              <w:textAlignment w:val="center"/>
              <w:rPr>
                <w:rFonts w:cs="Times New Roman"/>
                <w:bCs/>
                <w:sz w:val="20"/>
                <w:szCs w:val="20"/>
              </w:rPr>
            </w:pPr>
            <w:r>
              <w:rPr>
                <w:rFonts w:hint="eastAsia" w:cs="Times New Roman"/>
                <w:bCs/>
                <w:sz w:val="20"/>
                <w:szCs w:val="20"/>
              </w:rPr>
              <w:t>1</w:t>
            </w:r>
          </w:p>
        </w:tc>
        <w:tc>
          <w:tcPr>
            <w:tcW w:w="1612" w:type="pct"/>
            <w:shd w:val="clear" w:color="auto" w:fill="E2EFD9" w:themeFill="accent6" w:themeFillTint="33"/>
            <w:vAlign w:val="center"/>
          </w:tcPr>
          <w:p w14:paraId="1BE51F09">
            <w:pPr>
              <w:widowControl/>
              <w:spacing w:line="300" w:lineRule="auto"/>
              <w:jc w:val="center"/>
              <w:textAlignment w:val="center"/>
              <w:rPr>
                <w:rFonts w:cs="Times New Roman"/>
                <w:bCs/>
                <w:sz w:val="20"/>
                <w:szCs w:val="20"/>
              </w:rPr>
            </w:pPr>
            <w:r>
              <w:rPr>
                <w:rFonts w:hint="eastAsia" w:cs="Times New Roman"/>
                <w:bCs/>
                <w:sz w:val="20"/>
                <w:szCs w:val="20"/>
              </w:rPr>
              <w:t>2.27%</w:t>
            </w:r>
          </w:p>
        </w:tc>
      </w:tr>
      <w:tr w14:paraId="73E80193">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1793" w:type="pct"/>
            <w:shd w:val="clear" w:color="auto" w:fill="E2EFD9" w:themeFill="accent6" w:themeFillTint="33"/>
            <w:vAlign w:val="center"/>
          </w:tcPr>
          <w:p w14:paraId="122B54F6">
            <w:pPr>
              <w:widowControl/>
              <w:spacing w:line="300" w:lineRule="auto"/>
              <w:jc w:val="center"/>
              <w:textAlignment w:val="center"/>
              <w:rPr>
                <w:rFonts w:cs="Times New Roman"/>
                <w:b w:val="0"/>
                <w:bCs w:val="0"/>
                <w:sz w:val="20"/>
                <w:szCs w:val="20"/>
              </w:rPr>
            </w:pPr>
            <w:r>
              <w:rPr>
                <w:rFonts w:hint="eastAsia" w:cs="Times New Roman"/>
                <w:b/>
                <w:bCs/>
                <w:sz w:val="20"/>
                <w:szCs w:val="20"/>
              </w:rPr>
              <w:t>江西省</w:t>
            </w:r>
          </w:p>
        </w:tc>
        <w:tc>
          <w:tcPr>
            <w:tcW w:w="1595" w:type="pct"/>
            <w:shd w:val="clear" w:color="auto" w:fill="E2EFD9" w:themeFill="accent6" w:themeFillTint="33"/>
            <w:vAlign w:val="center"/>
          </w:tcPr>
          <w:p w14:paraId="0B98BB4B">
            <w:pPr>
              <w:widowControl/>
              <w:spacing w:line="300" w:lineRule="auto"/>
              <w:jc w:val="center"/>
              <w:textAlignment w:val="center"/>
              <w:rPr>
                <w:rFonts w:cs="Times New Roman"/>
                <w:bCs/>
                <w:sz w:val="20"/>
                <w:szCs w:val="20"/>
              </w:rPr>
            </w:pPr>
            <w:r>
              <w:rPr>
                <w:rFonts w:hint="eastAsia" w:cs="Times New Roman"/>
                <w:bCs/>
                <w:sz w:val="20"/>
                <w:szCs w:val="20"/>
              </w:rPr>
              <w:t>1</w:t>
            </w:r>
          </w:p>
        </w:tc>
        <w:tc>
          <w:tcPr>
            <w:tcW w:w="1612" w:type="pct"/>
            <w:shd w:val="clear" w:color="auto" w:fill="E2EFD9" w:themeFill="accent6" w:themeFillTint="33"/>
            <w:vAlign w:val="center"/>
          </w:tcPr>
          <w:p w14:paraId="615D8CA8">
            <w:pPr>
              <w:widowControl/>
              <w:spacing w:line="300" w:lineRule="auto"/>
              <w:jc w:val="center"/>
              <w:textAlignment w:val="center"/>
              <w:rPr>
                <w:rFonts w:cs="Times New Roman"/>
                <w:bCs/>
                <w:sz w:val="20"/>
                <w:szCs w:val="20"/>
              </w:rPr>
            </w:pPr>
            <w:r>
              <w:rPr>
                <w:rFonts w:hint="eastAsia" w:cs="Times New Roman"/>
                <w:bCs/>
                <w:sz w:val="20"/>
                <w:szCs w:val="20"/>
              </w:rPr>
              <w:t>2.27%</w:t>
            </w:r>
          </w:p>
        </w:tc>
      </w:tr>
      <w:tr w14:paraId="226D4567">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1793" w:type="pct"/>
            <w:shd w:val="clear" w:color="auto" w:fill="E2EFD9" w:themeFill="accent6" w:themeFillTint="33"/>
            <w:vAlign w:val="center"/>
          </w:tcPr>
          <w:p w14:paraId="1770043B">
            <w:pPr>
              <w:widowControl/>
              <w:spacing w:line="300" w:lineRule="auto"/>
              <w:jc w:val="center"/>
              <w:textAlignment w:val="center"/>
              <w:rPr>
                <w:rFonts w:cs="Times New Roman"/>
                <w:b w:val="0"/>
                <w:bCs w:val="0"/>
                <w:sz w:val="20"/>
                <w:szCs w:val="20"/>
              </w:rPr>
            </w:pPr>
            <w:r>
              <w:rPr>
                <w:rFonts w:hint="eastAsia" w:cs="Times New Roman"/>
                <w:b/>
                <w:bCs/>
                <w:sz w:val="20"/>
                <w:szCs w:val="20"/>
              </w:rPr>
              <w:t>陕西省</w:t>
            </w:r>
          </w:p>
        </w:tc>
        <w:tc>
          <w:tcPr>
            <w:tcW w:w="1595" w:type="pct"/>
            <w:shd w:val="clear" w:color="auto" w:fill="E2EFD9" w:themeFill="accent6" w:themeFillTint="33"/>
            <w:vAlign w:val="center"/>
          </w:tcPr>
          <w:p w14:paraId="1BED392A">
            <w:pPr>
              <w:widowControl/>
              <w:spacing w:line="300" w:lineRule="auto"/>
              <w:jc w:val="center"/>
              <w:textAlignment w:val="center"/>
              <w:rPr>
                <w:rFonts w:cs="Times New Roman"/>
                <w:bCs/>
                <w:sz w:val="20"/>
                <w:szCs w:val="20"/>
              </w:rPr>
            </w:pPr>
            <w:r>
              <w:rPr>
                <w:rFonts w:hint="eastAsia" w:cs="Times New Roman"/>
                <w:bCs/>
                <w:sz w:val="20"/>
                <w:szCs w:val="20"/>
              </w:rPr>
              <w:t>1</w:t>
            </w:r>
          </w:p>
        </w:tc>
        <w:tc>
          <w:tcPr>
            <w:tcW w:w="1612" w:type="pct"/>
            <w:shd w:val="clear" w:color="auto" w:fill="E2EFD9" w:themeFill="accent6" w:themeFillTint="33"/>
            <w:vAlign w:val="center"/>
          </w:tcPr>
          <w:p w14:paraId="71F13603">
            <w:pPr>
              <w:widowControl/>
              <w:spacing w:line="300" w:lineRule="auto"/>
              <w:jc w:val="center"/>
              <w:textAlignment w:val="center"/>
              <w:rPr>
                <w:rFonts w:cs="Times New Roman"/>
                <w:bCs/>
                <w:sz w:val="20"/>
                <w:szCs w:val="20"/>
              </w:rPr>
            </w:pPr>
            <w:r>
              <w:rPr>
                <w:rFonts w:hint="eastAsia" w:cs="Times New Roman"/>
                <w:bCs/>
                <w:sz w:val="20"/>
                <w:szCs w:val="20"/>
              </w:rPr>
              <w:t>2.27%</w:t>
            </w:r>
          </w:p>
        </w:tc>
      </w:tr>
      <w:tr w14:paraId="07351C78">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1793" w:type="pct"/>
            <w:shd w:val="clear" w:color="auto" w:fill="E2EFD9" w:themeFill="accent6" w:themeFillTint="33"/>
            <w:vAlign w:val="center"/>
          </w:tcPr>
          <w:p w14:paraId="19C22BDA">
            <w:pPr>
              <w:widowControl/>
              <w:spacing w:line="300" w:lineRule="auto"/>
              <w:jc w:val="center"/>
              <w:textAlignment w:val="center"/>
              <w:rPr>
                <w:rFonts w:cs="Times New Roman"/>
                <w:b w:val="0"/>
                <w:bCs w:val="0"/>
                <w:sz w:val="20"/>
                <w:szCs w:val="20"/>
              </w:rPr>
            </w:pPr>
            <w:r>
              <w:rPr>
                <w:rFonts w:hint="eastAsia" w:cs="Times New Roman"/>
                <w:b/>
                <w:bCs/>
                <w:sz w:val="20"/>
                <w:szCs w:val="20"/>
              </w:rPr>
              <w:t>河南省</w:t>
            </w:r>
          </w:p>
        </w:tc>
        <w:tc>
          <w:tcPr>
            <w:tcW w:w="1595" w:type="pct"/>
            <w:shd w:val="clear" w:color="auto" w:fill="E2EFD9" w:themeFill="accent6" w:themeFillTint="33"/>
            <w:vAlign w:val="center"/>
          </w:tcPr>
          <w:p w14:paraId="37C681F4">
            <w:pPr>
              <w:widowControl/>
              <w:spacing w:line="300" w:lineRule="auto"/>
              <w:jc w:val="center"/>
              <w:textAlignment w:val="center"/>
              <w:rPr>
                <w:rFonts w:cs="Times New Roman"/>
                <w:bCs/>
                <w:sz w:val="20"/>
                <w:szCs w:val="20"/>
              </w:rPr>
            </w:pPr>
            <w:r>
              <w:rPr>
                <w:rFonts w:hint="eastAsia" w:cs="Times New Roman"/>
                <w:bCs/>
                <w:sz w:val="20"/>
                <w:szCs w:val="20"/>
              </w:rPr>
              <w:t>1</w:t>
            </w:r>
          </w:p>
        </w:tc>
        <w:tc>
          <w:tcPr>
            <w:tcW w:w="1612" w:type="pct"/>
            <w:shd w:val="clear" w:color="auto" w:fill="E2EFD9" w:themeFill="accent6" w:themeFillTint="33"/>
            <w:vAlign w:val="center"/>
          </w:tcPr>
          <w:p w14:paraId="451FB441">
            <w:pPr>
              <w:widowControl/>
              <w:spacing w:line="300" w:lineRule="auto"/>
              <w:jc w:val="center"/>
              <w:textAlignment w:val="center"/>
              <w:rPr>
                <w:rFonts w:cs="Times New Roman"/>
                <w:bCs/>
                <w:sz w:val="20"/>
                <w:szCs w:val="20"/>
              </w:rPr>
            </w:pPr>
            <w:r>
              <w:rPr>
                <w:rFonts w:hint="eastAsia" w:cs="Times New Roman"/>
                <w:bCs/>
                <w:sz w:val="20"/>
                <w:szCs w:val="20"/>
              </w:rPr>
              <w:t>2.27%</w:t>
            </w:r>
          </w:p>
        </w:tc>
      </w:tr>
      <w:tr w14:paraId="4437047D">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1793" w:type="pct"/>
            <w:shd w:val="clear" w:color="auto" w:fill="E2EFD9" w:themeFill="accent6" w:themeFillTint="33"/>
            <w:vAlign w:val="center"/>
          </w:tcPr>
          <w:p w14:paraId="313A7701">
            <w:pPr>
              <w:widowControl/>
              <w:spacing w:line="300" w:lineRule="auto"/>
              <w:jc w:val="center"/>
              <w:textAlignment w:val="center"/>
              <w:rPr>
                <w:rFonts w:cs="Times New Roman"/>
                <w:b w:val="0"/>
                <w:bCs w:val="0"/>
                <w:sz w:val="20"/>
                <w:szCs w:val="20"/>
              </w:rPr>
            </w:pPr>
            <w:r>
              <w:rPr>
                <w:rFonts w:hint="eastAsia" w:cs="Times New Roman"/>
                <w:b/>
                <w:bCs/>
                <w:sz w:val="20"/>
                <w:szCs w:val="20"/>
              </w:rPr>
              <w:t>合计</w:t>
            </w:r>
          </w:p>
        </w:tc>
        <w:tc>
          <w:tcPr>
            <w:tcW w:w="1595" w:type="pct"/>
            <w:shd w:val="clear" w:color="auto" w:fill="E2EFD9" w:themeFill="accent6" w:themeFillTint="33"/>
            <w:vAlign w:val="center"/>
          </w:tcPr>
          <w:p w14:paraId="1DF8A7B1">
            <w:pPr>
              <w:widowControl/>
              <w:spacing w:line="300" w:lineRule="auto"/>
              <w:jc w:val="center"/>
              <w:textAlignment w:val="center"/>
              <w:rPr>
                <w:rFonts w:cs="Times New Roman"/>
                <w:bCs/>
                <w:sz w:val="20"/>
                <w:szCs w:val="20"/>
              </w:rPr>
            </w:pPr>
            <w:r>
              <w:rPr>
                <w:rFonts w:hint="eastAsia" w:cs="Times New Roman"/>
                <w:bCs/>
                <w:sz w:val="20"/>
                <w:szCs w:val="20"/>
              </w:rPr>
              <w:t>44</w:t>
            </w:r>
          </w:p>
        </w:tc>
        <w:tc>
          <w:tcPr>
            <w:tcW w:w="1612" w:type="pct"/>
            <w:shd w:val="clear" w:color="auto" w:fill="E2EFD9" w:themeFill="accent6" w:themeFillTint="33"/>
            <w:vAlign w:val="center"/>
          </w:tcPr>
          <w:p w14:paraId="7251E906">
            <w:pPr>
              <w:widowControl/>
              <w:spacing w:line="300" w:lineRule="auto"/>
              <w:jc w:val="center"/>
              <w:textAlignment w:val="center"/>
              <w:rPr>
                <w:rFonts w:cs="Times New Roman"/>
                <w:bCs/>
                <w:sz w:val="20"/>
                <w:szCs w:val="20"/>
              </w:rPr>
            </w:pPr>
            <w:r>
              <w:rPr>
                <w:rFonts w:hint="eastAsia" w:cs="Times New Roman"/>
                <w:bCs/>
                <w:sz w:val="20"/>
                <w:szCs w:val="20"/>
              </w:rPr>
              <w:t>100%</w:t>
            </w:r>
          </w:p>
        </w:tc>
      </w:tr>
    </w:tbl>
    <w:p w14:paraId="455F87D0">
      <w:pPr>
        <w:pStyle w:val="3"/>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2.毕业生就业行业分布 </w:t>
      </w:r>
    </w:p>
    <w:p w14:paraId="30B034B7">
      <w:pPr>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我院</w:t>
      </w:r>
      <w:r>
        <w:rPr>
          <w:rFonts w:hint="eastAsia" w:ascii="仿宋" w:hAnsi="仿宋" w:eastAsia="仿宋" w:cs="仿宋"/>
          <w:sz w:val="32"/>
          <w:szCs w:val="32"/>
        </w:rPr>
        <w:t>2024届毕业生行业布局主要流向了“教育”占比为24.62%；“批发和零售业”占比为14.02%；“卫生和社会工作”占比为12.88%。</w:t>
      </w:r>
    </w:p>
    <w:tbl>
      <w:tblPr>
        <w:tblStyle w:val="27"/>
        <w:tblW w:w="5000" w:type="pct"/>
        <w:tblInd w:w="0" w:type="dxa"/>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Layout w:type="autofit"/>
        <w:tblCellMar>
          <w:top w:w="0" w:type="dxa"/>
          <w:left w:w="108" w:type="dxa"/>
          <w:bottom w:w="0" w:type="dxa"/>
          <w:right w:w="108" w:type="dxa"/>
        </w:tblCellMar>
      </w:tblPr>
      <w:tblGrid>
        <w:gridCol w:w="3463"/>
        <w:gridCol w:w="2312"/>
        <w:gridCol w:w="2747"/>
      </w:tblGrid>
      <w:tr w14:paraId="0E132C57">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2031" w:type="pct"/>
            <w:tcBorders>
              <w:top w:val="single" w:color="70AD47" w:themeColor="accent6" w:sz="4" w:space="0"/>
              <w:left w:val="single" w:color="70AD47" w:themeColor="accent6" w:sz="4" w:space="0"/>
              <w:bottom w:val="single" w:color="70AD47" w:themeColor="accent6" w:sz="4" w:space="0"/>
              <w:right w:val="nil"/>
              <w:insideH w:val="single" w:sz="4" w:space="0"/>
              <w:insideV w:val="nil"/>
            </w:tcBorders>
            <w:shd w:val="clear" w:color="auto" w:fill="70AD47" w:themeFill="accent6"/>
            <w:vAlign w:val="center"/>
          </w:tcPr>
          <w:p w14:paraId="06483F56">
            <w:pPr>
              <w:spacing w:line="300" w:lineRule="auto"/>
              <w:jc w:val="center"/>
              <w:rPr>
                <w:rFonts w:hint="eastAsia" w:ascii="仿宋" w:hAnsi="仿宋" w:eastAsia="仿宋" w:cs="仿宋"/>
                <w:b w:val="0"/>
                <w:bCs w:val="0"/>
                <w:color w:val="FFFFFF" w:themeColor="background1"/>
                <w:sz w:val="20"/>
                <w:szCs w:val="20"/>
                <w14:textFill>
                  <w14:solidFill>
                    <w14:schemeClr w14:val="bg1"/>
                  </w14:solidFill>
                </w14:textFill>
              </w:rPr>
            </w:pPr>
            <w:r>
              <w:rPr>
                <w:rFonts w:hint="eastAsia" w:ascii="仿宋" w:hAnsi="仿宋" w:eastAsia="仿宋" w:cs="仿宋"/>
                <w:b/>
                <w:bCs/>
                <w:color w:val="auto"/>
                <w:sz w:val="20"/>
                <w:szCs w:val="20"/>
              </w:rPr>
              <w:t>就业行业</w:t>
            </w:r>
          </w:p>
        </w:tc>
        <w:tc>
          <w:tcPr>
            <w:tcW w:w="1356" w:type="pct"/>
            <w:tcBorders>
              <w:top w:val="single" w:color="70AD47" w:themeColor="accent6" w:sz="4" w:space="0"/>
              <w:bottom w:val="single" w:color="70AD47" w:themeColor="accent6" w:sz="4" w:space="0"/>
              <w:right w:val="nil"/>
              <w:insideH w:val="single" w:sz="4" w:space="0"/>
              <w:insideV w:val="nil"/>
            </w:tcBorders>
            <w:shd w:val="clear" w:color="auto" w:fill="70AD47" w:themeFill="accent6"/>
            <w:vAlign w:val="center"/>
          </w:tcPr>
          <w:p w14:paraId="778ABFF9">
            <w:pPr>
              <w:spacing w:line="300" w:lineRule="auto"/>
              <w:jc w:val="center"/>
              <w:rPr>
                <w:rFonts w:hint="eastAsia" w:ascii="仿宋" w:hAnsi="仿宋" w:eastAsia="仿宋" w:cs="仿宋"/>
                <w:b w:val="0"/>
                <w:bCs w:val="0"/>
                <w:color w:val="FFFFFF" w:themeColor="background1"/>
                <w:sz w:val="20"/>
                <w:szCs w:val="20"/>
                <w14:textFill>
                  <w14:solidFill>
                    <w14:schemeClr w14:val="bg1"/>
                  </w14:solidFill>
                </w14:textFill>
              </w:rPr>
            </w:pPr>
            <w:r>
              <w:rPr>
                <w:rFonts w:hint="eastAsia" w:ascii="仿宋" w:hAnsi="仿宋" w:eastAsia="仿宋" w:cs="仿宋"/>
                <w:b/>
                <w:bCs/>
                <w:color w:val="auto"/>
                <w:sz w:val="20"/>
                <w:szCs w:val="20"/>
              </w:rPr>
              <w:t>就业人数</w:t>
            </w:r>
          </w:p>
        </w:tc>
        <w:tc>
          <w:tcPr>
            <w:tcW w:w="1611" w:type="pct"/>
            <w:tcBorders>
              <w:top w:val="single" w:color="70AD47" w:themeColor="accent6" w:sz="4" w:space="0"/>
              <w:bottom w:val="single" w:color="70AD47" w:themeColor="accent6" w:sz="4" w:space="0"/>
              <w:right w:val="single" w:color="70AD47" w:themeColor="accent6" w:sz="4" w:space="0"/>
              <w:insideH w:val="single" w:sz="4" w:space="0"/>
              <w:insideV w:val="nil"/>
            </w:tcBorders>
            <w:shd w:val="clear" w:color="auto" w:fill="70AD47" w:themeFill="accent6"/>
            <w:vAlign w:val="center"/>
          </w:tcPr>
          <w:p w14:paraId="3B035DAB">
            <w:pPr>
              <w:spacing w:line="300" w:lineRule="auto"/>
              <w:jc w:val="center"/>
              <w:rPr>
                <w:rFonts w:hint="eastAsia" w:ascii="仿宋" w:hAnsi="仿宋" w:eastAsia="仿宋" w:cs="仿宋"/>
                <w:b w:val="0"/>
                <w:bCs w:val="0"/>
                <w:color w:val="FFFFFF" w:themeColor="background1"/>
                <w:sz w:val="20"/>
                <w:szCs w:val="20"/>
                <w14:textFill>
                  <w14:solidFill>
                    <w14:schemeClr w14:val="bg1"/>
                  </w14:solidFill>
                </w14:textFill>
              </w:rPr>
            </w:pPr>
            <w:r>
              <w:rPr>
                <w:rFonts w:hint="eastAsia" w:ascii="仿宋" w:hAnsi="仿宋" w:eastAsia="仿宋" w:cs="仿宋"/>
                <w:b/>
                <w:bCs/>
                <w:color w:val="auto"/>
                <w:sz w:val="20"/>
                <w:szCs w:val="20"/>
              </w:rPr>
              <w:t>占比</w:t>
            </w:r>
          </w:p>
        </w:tc>
      </w:tr>
      <w:tr w14:paraId="4EEBA2FF">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2031" w:type="pct"/>
            <w:shd w:val="clear" w:color="auto" w:fill="E2EFD9" w:themeFill="accent6" w:themeFillTint="33"/>
            <w:vAlign w:val="center"/>
          </w:tcPr>
          <w:p w14:paraId="480DC995">
            <w:pPr>
              <w:widowControl/>
              <w:spacing w:line="300" w:lineRule="auto"/>
              <w:jc w:val="center"/>
              <w:textAlignment w:val="center"/>
              <w:rPr>
                <w:rFonts w:hint="eastAsia" w:ascii="仿宋" w:hAnsi="仿宋" w:eastAsia="仿宋" w:cs="仿宋"/>
                <w:b w:val="0"/>
                <w:bCs w:val="0"/>
                <w:sz w:val="20"/>
                <w:szCs w:val="20"/>
              </w:rPr>
            </w:pPr>
            <w:r>
              <w:rPr>
                <w:rFonts w:hint="eastAsia" w:ascii="仿宋" w:hAnsi="仿宋" w:eastAsia="仿宋" w:cs="仿宋"/>
                <w:b/>
                <w:bCs/>
                <w:sz w:val="20"/>
                <w:szCs w:val="20"/>
              </w:rPr>
              <w:t>教育</w:t>
            </w:r>
          </w:p>
        </w:tc>
        <w:tc>
          <w:tcPr>
            <w:tcW w:w="1356" w:type="pct"/>
            <w:shd w:val="clear" w:color="auto" w:fill="E2EFD9" w:themeFill="accent6" w:themeFillTint="33"/>
            <w:vAlign w:val="center"/>
          </w:tcPr>
          <w:p w14:paraId="53E6EA2A">
            <w:pPr>
              <w:widowControl/>
              <w:spacing w:line="300" w:lineRule="auto"/>
              <w:jc w:val="center"/>
              <w:textAlignment w:val="center"/>
              <w:rPr>
                <w:rFonts w:hint="eastAsia" w:ascii="仿宋" w:hAnsi="仿宋" w:eastAsia="仿宋" w:cs="仿宋"/>
                <w:sz w:val="20"/>
                <w:szCs w:val="20"/>
              </w:rPr>
            </w:pPr>
            <w:r>
              <w:rPr>
                <w:rFonts w:hint="eastAsia" w:ascii="仿宋" w:hAnsi="仿宋" w:eastAsia="仿宋" w:cs="仿宋"/>
                <w:sz w:val="20"/>
                <w:szCs w:val="20"/>
              </w:rPr>
              <w:t>65</w:t>
            </w:r>
          </w:p>
        </w:tc>
        <w:tc>
          <w:tcPr>
            <w:tcW w:w="1611" w:type="pct"/>
            <w:shd w:val="clear" w:color="auto" w:fill="E2EFD9" w:themeFill="accent6" w:themeFillTint="33"/>
            <w:vAlign w:val="center"/>
          </w:tcPr>
          <w:p w14:paraId="6C2ACF71">
            <w:pPr>
              <w:widowControl/>
              <w:spacing w:line="300" w:lineRule="auto"/>
              <w:jc w:val="center"/>
              <w:textAlignment w:val="center"/>
              <w:rPr>
                <w:rFonts w:hint="eastAsia" w:ascii="仿宋" w:hAnsi="仿宋" w:eastAsia="仿宋" w:cs="仿宋"/>
                <w:sz w:val="20"/>
                <w:szCs w:val="20"/>
              </w:rPr>
            </w:pPr>
            <w:r>
              <w:rPr>
                <w:rFonts w:hint="eastAsia" w:ascii="仿宋" w:hAnsi="仿宋" w:eastAsia="仿宋" w:cs="仿宋"/>
                <w:sz w:val="20"/>
                <w:szCs w:val="20"/>
              </w:rPr>
              <w:t>24.62%</w:t>
            </w:r>
          </w:p>
        </w:tc>
      </w:tr>
      <w:tr w14:paraId="10F78487">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2031" w:type="pct"/>
            <w:shd w:val="clear" w:color="auto" w:fill="E2EFD9" w:themeFill="accent6" w:themeFillTint="33"/>
            <w:vAlign w:val="center"/>
          </w:tcPr>
          <w:p w14:paraId="57324643">
            <w:pPr>
              <w:widowControl/>
              <w:spacing w:line="300" w:lineRule="auto"/>
              <w:jc w:val="center"/>
              <w:textAlignment w:val="center"/>
              <w:rPr>
                <w:rFonts w:hint="eastAsia" w:ascii="仿宋" w:hAnsi="仿宋" w:eastAsia="仿宋" w:cs="仿宋"/>
                <w:b w:val="0"/>
                <w:bCs w:val="0"/>
                <w:sz w:val="20"/>
                <w:szCs w:val="20"/>
              </w:rPr>
            </w:pPr>
            <w:r>
              <w:rPr>
                <w:rFonts w:hint="eastAsia" w:ascii="仿宋" w:hAnsi="仿宋" w:eastAsia="仿宋" w:cs="仿宋"/>
                <w:b/>
                <w:bCs/>
                <w:sz w:val="20"/>
                <w:szCs w:val="20"/>
              </w:rPr>
              <w:t>批发和零售业</w:t>
            </w:r>
          </w:p>
        </w:tc>
        <w:tc>
          <w:tcPr>
            <w:tcW w:w="1356" w:type="pct"/>
            <w:shd w:val="clear" w:color="auto" w:fill="E2EFD9" w:themeFill="accent6" w:themeFillTint="33"/>
            <w:vAlign w:val="center"/>
          </w:tcPr>
          <w:p w14:paraId="775F5282">
            <w:pPr>
              <w:widowControl/>
              <w:spacing w:line="300" w:lineRule="auto"/>
              <w:jc w:val="center"/>
              <w:textAlignment w:val="center"/>
              <w:rPr>
                <w:rFonts w:hint="eastAsia" w:ascii="仿宋" w:hAnsi="仿宋" w:eastAsia="仿宋" w:cs="仿宋"/>
                <w:sz w:val="20"/>
                <w:szCs w:val="20"/>
              </w:rPr>
            </w:pPr>
            <w:r>
              <w:rPr>
                <w:rFonts w:hint="eastAsia" w:ascii="仿宋" w:hAnsi="仿宋" w:eastAsia="仿宋" w:cs="仿宋"/>
                <w:sz w:val="20"/>
                <w:szCs w:val="20"/>
              </w:rPr>
              <w:t>37</w:t>
            </w:r>
          </w:p>
        </w:tc>
        <w:tc>
          <w:tcPr>
            <w:tcW w:w="1611" w:type="pct"/>
            <w:shd w:val="clear" w:color="auto" w:fill="E2EFD9" w:themeFill="accent6" w:themeFillTint="33"/>
            <w:vAlign w:val="center"/>
          </w:tcPr>
          <w:p w14:paraId="6624FA8D">
            <w:pPr>
              <w:widowControl/>
              <w:spacing w:line="300" w:lineRule="auto"/>
              <w:jc w:val="center"/>
              <w:textAlignment w:val="center"/>
              <w:rPr>
                <w:rFonts w:hint="eastAsia" w:ascii="仿宋" w:hAnsi="仿宋" w:eastAsia="仿宋" w:cs="仿宋"/>
                <w:sz w:val="20"/>
                <w:szCs w:val="20"/>
              </w:rPr>
            </w:pPr>
            <w:r>
              <w:rPr>
                <w:rFonts w:hint="eastAsia" w:ascii="仿宋" w:hAnsi="仿宋" w:eastAsia="仿宋" w:cs="仿宋"/>
                <w:sz w:val="20"/>
                <w:szCs w:val="20"/>
              </w:rPr>
              <w:t>14.02%</w:t>
            </w:r>
          </w:p>
        </w:tc>
      </w:tr>
      <w:tr w14:paraId="61A2A101">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2031" w:type="pct"/>
            <w:shd w:val="clear" w:color="auto" w:fill="E2EFD9" w:themeFill="accent6" w:themeFillTint="33"/>
            <w:vAlign w:val="center"/>
          </w:tcPr>
          <w:p w14:paraId="7FAFE752">
            <w:pPr>
              <w:widowControl/>
              <w:spacing w:line="300" w:lineRule="auto"/>
              <w:jc w:val="center"/>
              <w:textAlignment w:val="center"/>
              <w:rPr>
                <w:rFonts w:hint="eastAsia" w:ascii="仿宋" w:hAnsi="仿宋" w:eastAsia="仿宋" w:cs="仿宋"/>
                <w:b w:val="0"/>
                <w:bCs w:val="0"/>
                <w:sz w:val="20"/>
                <w:szCs w:val="20"/>
              </w:rPr>
            </w:pPr>
            <w:r>
              <w:rPr>
                <w:rFonts w:hint="eastAsia" w:ascii="仿宋" w:hAnsi="仿宋" w:eastAsia="仿宋" w:cs="仿宋"/>
                <w:b/>
                <w:bCs/>
                <w:sz w:val="20"/>
                <w:szCs w:val="20"/>
              </w:rPr>
              <w:t>卫生和社会工作</w:t>
            </w:r>
          </w:p>
        </w:tc>
        <w:tc>
          <w:tcPr>
            <w:tcW w:w="1356" w:type="pct"/>
            <w:shd w:val="clear" w:color="auto" w:fill="E2EFD9" w:themeFill="accent6" w:themeFillTint="33"/>
            <w:vAlign w:val="center"/>
          </w:tcPr>
          <w:p w14:paraId="168F285F">
            <w:pPr>
              <w:widowControl/>
              <w:spacing w:line="300" w:lineRule="auto"/>
              <w:jc w:val="center"/>
              <w:textAlignment w:val="center"/>
              <w:rPr>
                <w:rFonts w:hint="eastAsia" w:ascii="仿宋" w:hAnsi="仿宋" w:eastAsia="仿宋" w:cs="仿宋"/>
                <w:sz w:val="20"/>
                <w:szCs w:val="20"/>
              </w:rPr>
            </w:pPr>
            <w:r>
              <w:rPr>
                <w:rFonts w:hint="eastAsia" w:ascii="仿宋" w:hAnsi="仿宋" w:eastAsia="仿宋" w:cs="仿宋"/>
                <w:sz w:val="20"/>
                <w:szCs w:val="20"/>
              </w:rPr>
              <w:t>34</w:t>
            </w:r>
          </w:p>
        </w:tc>
        <w:tc>
          <w:tcPr>
            <w:tcW w:w="1611" w:type="pct"/>
            <w:shd w:val="clear" w:color="auto" w:fill="E2EFD9" w:themeFill="accent6" w:themeFillTint="33"/>
            <w:vAlign w:val="center"/>
          </w:tcPr>
          <w:p w14:paraId="470072F3">
            <w:pPr>
              <w:widowControl/>
              <w:spacing w:line="300" w:lineRule="auto"/>
              <w:jc w:val="center"/>
              <w:textAlignment w:val="center"/>
              <w:rPr>
                <w:rFonts w:hint="eastAsia" w:ascii="仿宋" w:hAnsi="仿宋" w:eastAsia="仿宋" w:cs="仿宋"/>
                <w:sz w:val="20"/>
                <w:szCs w:val="20"/>
              </w:rPr>
            </w:pPr>
            <w:r>
              <w:rPr>
                <w:rFonts w:hint="eastAsia" w:ascii="仿宋" w:hAnsi="仿宋" w:eastAsia="仿宋" w:cs="仿宋"/>
                <w:sz w:val="20"/>
                <w:szCs w:val="20"/>
              </w:rPr>
              <w:t>12.88%</w:t>
            </w:r>
          </w:p>
        </w:tc>
      </w:tr>
      <w:tr w14:paraId="52C712AD">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2031" w:type="pct"/>
            <w:shd w:val="clear" w:color="auto" w:fill="E2EFD9" w:themeFill="accent6" w:themeFillTint="33"/>
            <w:vAlign w:val="center"/>
          </w:tcPr>
          <w:p w14:paraId="2607A8B3">
            <w:pPr>
              <w:widowControl/>
              <w:spacing w:line="300" w:lineRule="auto"/>
              <w:jc w:val="center"/>
              <w:textAlignment w:val="center"/>
              <w:rPr>
                <w:rFonts w:hint="eastAsia" w:ascii="仿宋" w:hAnsi="仿宋" w:eastAsia="仿宋" w:cs="仿宋"/>
                <w:b w:val="0"/>
                <w:bCs w:val="0"/>
                <w:sz w:val="20"/>
                <w:szCs w:val="20"/>
              </w:rPr>
            </w:pPr>
            <w:r>
              <w:rPr>
                <w:rFonts w:hint="eastAsia" w:ascii="仿宋" w:hAnsi="仿宋" w:eastAsia="仿宋" w:cs="仿宋"/>
                <w:b/>
                <w:bCs/>
                <w:sz w:val="20"/>
                <w:szCs w:val="20"/>
              </w:rPr>
              <w:t>租赁和商务服务业</w:t>
            </w:r>
          </w:p>
        </w:tc>
        <w:tc>
          <w:tcPr>
            <w:tcW w:w="1356" w:type="pct"/>
            <w:shd w:val="clear" w:color="auto" w:fill="E2EFD9" w:themeFill="accent6" w:themeFillTint="33"/>
            <w:vAlign w:val="center"/>
          </w:tcPr>
          <w:p w14:paraId="51475559">
            <w:pPr>
              <w:widowControl/>
              <w:spacing w:line="300" w:lineRule="auto"/>
              <w:jc w:val="center"/>
              <w:textAlignment w:val="center"/>
              <w:rPr>
                <w:rFonts w:hint="eastAsia" w:ascii="仿宋" w:hAnsi="仿宋" w:eastAsia="仿宋" w:cs="仿宋"/>
                <w:sz w:val="20"/>
                <w:szCs w:val="20"/>
              </w:rPr>
            </w:pPr>
            <w:r>
              <w:rPr>
                <w:rFonts w:hint="eastAsia" w:ascii="仿宋" w:hAnsi="仿宋" w:eastAsia="仿宋" w:cs="仿宋"/>
                <w:sz w:val="20"/>
                <w:szCs w:val="20"/>
              </w:rPr>
              <w:t>24</w:t>
            </w:r>
          </w:p>
        </w:tc>
        <w:tc>
          <w:tcPr>
            <w:tcW w:w="1611" w:type="pct"/>
            <w:shd w:val="clear" w:color="auto" w:fill="E2EFD9" w:themeFill="accent6" w:themeFillTint="33"/>
            <w:vAlign w:val="center"/>
          </w:tcPr>
          <w:p w14:paraId="49D2F9BA">
            <w:pPr>
              <w:widowControl/>
              <w:spacing w:line="300" w:lineRule="auto"/>
              <w:jc w:val="center"/>
              <w:textAlignment w:val="center"/>
              <w:rPr>
                <w:rFonts w:hint="eastAsia" w:ascii="仿宋" w:hAnsi="仿宋" w:eastAsia="仿宋" w:cs="仿宋"/>
                <w:sz w:val="20"/>
                <w:szCs w:val="20"/>
              </w:rPr>
            </w:pPr>
            <w:r>
              <w:rPr>
                <w:rFonts w:hint="eastAsia" w:ascii="仿宋" w:hAnsi="仿宋" w:eastAsia="仿宋" w:cs="仿宋"/>
                <w:sz w:val="20"/>
                <w:szCs w:val="20"/>
              </w:rPr>
              <w:t>9.09%</w:t>
            </w:r>
          </w:p>
        </w:tc>
      </w:tr>
      <w:tr w14:paraId="0014FF42">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2031" w:type="pct"/>
            <w:shd w:val="clear" w:color="auto" w:fill="E2EFD9" w:themeFill="accent6" w:themeFillTint="33"/>
            <w:vAlign w:val="center"/>
          </w:tcPr>
          <w:p w14:paraId="0248ADF7">
            <w:pPr>
              <w:widowControl/>
              <w:spacing w:line="300" w:lineRule="auto"/>
              <w:jc w:val="center"/>
              <w:textAlignment w:val="center"/>
              <w:rPr>
                <w:rFonts w:hint="eastAsia" w:ascii="仿宋" w:hAnsi="仿宋" w:eastAsia="仿宋" w:cs="仿宋"/>
                <w:b w:val="0"/>
                <w:bCs w:val="0"/>
                <w:sz w:val="20"/>
                <w:szCs w:val="20"/>
              </w:rPr>
            </w:pPr>
            <w:r>
              <w:rPr>
                <w:rFonts w:hint="eastAsia" w:ascii="仿宋" w:hAnsi="仿宋" w:eastAsia="仿宋" w:cs="仿宋"/>
                <w:b/>
                <w:bCs/>
                <w:sz w:val="20"/>
                <w:szCs w:val="20"/>
              </w:rPr>
              <w:t>住宿和餐饮业</w:t>
            </w:r>
          </w:p>
        </w:tc>
        <w:tc>
          <w:tcPr>
            <w:tcW w:w="1356" w:type="pct"/>
            <w:shd w:val="clear" w:color="auto" w:fill="E2EFD9" w:themeFill="accent6" w:themeFillTint="33"/>
            <w:vAlign w:val="center"/>
          </w:tcPr>
          <w:p w14:paraId="4306E826">
            <w:pPr>
              <w:widowControl/>
              <w:spacing w:line="300" w:lineRule="auto"/>
              <w:jc w:val="center"/>
              <w:textAlignment w:val="center"/>
              <w:rPr>
                <w:rFonts w:hint="eastAsia" w:ascii="仿宋" w:hAnsi="仿宋" w:eastAsia="仿宋" w:cs="仿宋"/>
                <w:sz w:val="20"/>
                <w:szCs w:val="20"/>
              </w:rPr>
            </w:pPr>
            <w:r>
              <w:rPr>
                <w:rFonts w:hint="eastAsia" w:ascii="仿宋" w:hAnsi="仿宋" w:eastAsia="仿宋" w:cs="仿宋"/>
                <w:sz w:val="20"/>
                <w:szCs w:val="20"/>
              </w:rPr>
              <w:t>18</w:t>
            </w:r>
          </w:p>
        </w:tc>
        <w:tc>
          <w:tcPr>
            <w:tcW w:w="1611" w:type="pct"/>
            <w:shd w:val="clear" w:color="auto" w:fill="E2EFD9" w:themeFill="accent6" w:themeFillTint="33"/>
            <w:vAlign w:val="center"/>
          </w:tcPr>
          <w:p w14:paraId="12136120">
            <w:pPr>
              <w:widowControl/>
              <w:spacing w:line="300" w:lineRule="auto"/>
              <w:jc w:val="center"/>
              <w:textAlignment w:val="center"/>
              <w:rPr>
                <w:rFonts w:hint="eastAsia" w:ascii="仿宋" w:hAnsi="仿宋" w:eastAsia="仿宋" w:cs="仿宋"/>
                <w:sz w:val="20"/>
                <w:szCs w:val="20"/>
              </w:rPr>
            </w:pPr>
            <w:r>
              <w:rPr>
                <w:rFonts w:hint="eastAsia" w:ascii="仿宋" w:hAnsi="仿宋" w:eastAsia="仿宋" w:cs="仿宋"/>
                <w:sz w:val="20"/>
                <w:szCs w:val="20"/>
              </w:rPr>
              <w:t>6.82%</w:t>
            </w:r>
          </w:p>
        </w:tc>
      </w:tr>
      <w:tr w14:paraId="4DB2DDB5">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2031" w:type="pct"/>
            <w:shd w:val="clear" w:color="auto" w:fill="E2EFD9" w:themeFill="accent6" w:themeFillTint="33"/>
            <w:vAlign w:val="center"/>
          </w:tcPr>
          <w:p w14:paraId="5E23C476">
            <w:pPr>
              <w:widowControl/>
              <w:spacing w:line="300" w:lineRule="auto"/>
              <w:jc w:val="center"/>
              <w:textAlignment w:val="center"/>
              <w:rPr>
                <w:rFonts w:hint="eastAsia" w:ascii="仿宋" w:hAnsi="仿宋" w:eastAsia="仿宋" w:cs="仿宋"/>
                <w:b w:val="0"/>
                <w:bCs w:val="0"/>
                <w:sz w:val="20"/>
                <w:szCs w:val="20"/>
              </w:rPr>
            </w:pPr>
            <w:r>
              <w:rPr>
                <w:rFonts w:hint="eastAsia" w:ascii="仿宋" w:hAnsi="仿宋" w:eastAsia="仿宋" w:cs="仿宋"/>
                <w:b/>
                <w:bCs/>
                <w:sz w:val="20"/>
                <w:szCs w:val="20"/>
              </w:rPr>
              <w:t>交通运输、仓储和邮政业</w:t>
            </w:r>
          </w:p>
        </w:tc>
        <w:tc>
          <w:tcPr>
            <w:tcW w:w="1356" w:type="pct"/>
            <w:shd w:val="clear" w:color="auto" w:fill="E2EFD9" w:themeFill="accent6" w:themeFillTint="33"/>
            <w:vAlign w:val="center"/>
          </w:tcPr>
          <w:p w14:paraId="7E3FBAB9">
            <w:pPr>
              <w:widowControl/>
              <w:spacing w:line="300" w:lineRule="auto"/>
              <w:jc w:val="center"/>
              <w:textAlignment w:val="center"/>
              <w:rPr>
                <w:rFonts w:hint="eastAsia" w:ascii="仿宋" w:hAnsi="仿宋" w:eastAsia="仿宋" w:cs="仿宋"/>
                <w:sz w:val="20"/>
                <w:szCs w:val="20"/>
              </w:rPr>
            </w:pPr>
            <w:r>
              <w:rPr>
                <w:rFonts w:hint="eastAsia" w:ascii="仿宋" w:hAnsi="仿宋" w:eastAsia="仿宋" w:cs="仿宋"/>
                <w:sz w:val="20"/>
                <w:szCs w:val="20"/>
              </w:rPr>
              <w:t>15</w:t>
            </w:r>
          </w:p>
        </w:tc>
        <w:tc>
          <w:tcPr>
            <w:tcW w:w="1611" w:type="pct"/>
            <w:shd w:val="clear" w:color="auto" w:fill="E2EFD9" w:themeFill="accent6" w:themeFillTint="33"/>
            <w:vAlign w:val="center"/>
          </w:tcPr>
          <w:p w14:paraId="28726C4A">
            <w:pPr>
              <w:widowControl/>
              <w:spacing w:line="300" w:lineRule="auto"/>
              <w:jc w:val="center"/>
              <w:textAlignment w:val="center"/>
              <w:rPr>
                <w:rFonts w:hint="eastAsia" w:ascii="仿宋" w:hAnsi="仿宋" w:eastAsia="仿宋" w:cs="仿宋"/>
                <w:sz w:val="20"/>
                <w:szCs w:val="20"/>
              </w:rPr>
            </w:pPr>
            <w:r>
              <w:rPr>
                <w:rFonts w:hint="eastAsia" w:ascii="仿宋" w:hAnsi="仿宋" w:eastAsia="仿宋" w:cs="仿宋"/>
                <w:sz w:val="20"/>
                <w:szCs w:val="20"/>
              </w:rPr>
              <w:t>5.68%</w:t>
            </w:r>
          </w:p>
        </w:tc>
      </w:tr>
      <w:tr w14:paraId="027BFA26">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2031" w:type="pct"/>
            <w:shd w:val="clear" w:color="auto" w:fill="E2EFD9" w:themeFill="accent6" w:themeFillTint="33"/>
            <w:vAlign w:val="center"/>
          </w:tcPr>
          <w:p w14:paraId="63521771">
            <w:pPr>
              <w:widowControl/>
              <w:spacing w:line="300" w:lineRule="auto"/>
              <w:jc w:val="center"/>
              <w:textAlignment w:val="center"/>
              <w:rPr>
                <w:rFonts w:hint="eastAsia" w:ascii="仿宋" w:hAnsi="仿宋" w:eastAsia="仿宋" w:cs="仿宋"/>
                <w:b w:val="0"/>
                <w:bCs w:val="0"/>
                <w:sz w:val="20"/>
                <w:szCs w:val="20"/>
              </w:rPr>
            </w:pPr>
            <w:r>
              <w:rPr>
                <w:rFonts w:hint="eastAsia" w:ascii="仿宋" w:hAnsi="仿宋" w:eastAsia="仿宋" w:cs="仿宋"/>
                <w:b/>
                <w:bCs/>
                <w:sz w:val="20"/>
                <w:szCs w:val="20"/>
              </w:rPr>
              <w:t>信息传输、软件和信息技术服务业</w:t>
            </w:r>
          </w:p>
        </w:tc>
        <w:tc>
          <w:tcPr>
            <w:tcW w:w="1356" w:type="pct"/>
            <w:shd w:val="clear" w:color="auto" w:fill="E2EFD9" w:themeFill="accent6" w:themeFillTint="33"/>
            <w:vAlign w:val="center"/>
          </w:tcPr>
          <w:p w14:paraId="3332F7C9">
            <w:pPr>
              <w:widowControl/>
              <w:spacing w:line="300" w:lineRule="auto"/>
              <w:jc w:val="center"/>
              <w:textAlignment w:val="center"/>
              <w:rPr>
                <w:rFonts w:hint="eastAsia" w:ascii="仿宋" w:hAnsi="仿宋" w:eastAsia="仿宋" w:cs="仿宋"/>
                <w:sz w:val="20"/>
                <w:szCs w:val="20"/>
              </w:rPr>
            </w:pPr>
            <w:r>
              <w:rPr>
                <w:rFonts w:hint="eastAsia" w:ascii="仿宋" w:hAnsi="仿宋" w:eastAsia="仿宋" w:cs="仿宋"/>
                <w:sz w:val="20"/>
                <w:szCs w:val="20"/>
              </w:rPr>
              <w:t>13</w:t>
            </w:r>
          </w:p>
        </w:tc>
        <w:tc>
          <w:tcPr>
            <w:tcW w:w="1611" w:type="pct"/>
            <w:shd w:val="clear" w:color="auto" w:fill="E2EFD9" w:themeFill="accent6" w:themeFillTint="33"/>
            <w:vAlign w:val="center"/>
          </w:tcPr>
          <w:p w14:paraId="581E3B11">
            <w:pPr>
              <w:widowControl/>
              <w:spacing w:line="300" w:lineRule="auto"/>
              <w:jc w:val="center"/>
              <w:textAlignment w:val="center"/>
              <w:rPr>
                <w:rFonts w:hint="eastAsia" w:ascii="仿宋" w:hAnsi="仿宋" w:eastAsia="仿宋" w:cs="仿宋"/>
                <w:sz w:val="20"/>
                <w:szCs w:val="20"/>
              </w:rPr>
            </w:pPr>
            <w:r>
              <w:rPr>
                <w:rFonts w:hint="eastAsia" w:ascii="仿宋" w:hAnsi="仿宋" w:eastAsia="仿宋" w:cs="仿宋"/>
                <w:sz w:val="20"/>
                <w:szCs w:val="20"/>
              </w:rPr>
              <w:t>4.92%</w:t>
            </w:r>
          </w:p>
        </w:tc>
      </w:tr>
      <w:tr w14:paraId="368986D2">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2031" w:type="pct"/>
            <w:shd w:val="clear" w:color="auto" w:fill="E2EFD9" w:themeFill="accent6" w:themeFillTint="33"/>
            <w:vAlign w:val="center"/>
          </w:tcPr>
          <w:p w14:paraId="3185E46E">
            <w:pPr>
              <w:widowControl/>
              <w:spacing w:line="300" w:lineRule="auto"/>
              <w:jc w:val="center"/>
              <w:textAlignment w:val="center"/>
              <w:rPr>
                <w:rFonts w:hint="eastAsia" w:ascii="仿宋" w:hAnsi="仿宋" w:eastAsia="仿宋" w:cs="仿宋"/>
                <w:b w:val="0"/>
                <w:bCs w:val="0"/>
                <w:sz w:val="20"/>
                <w:szCs w:val="20"/>
              </w:rPr>
            </w:pPr>
            <w:r>
              <w:rPr>
                <w:rFonts w:hint="eastAsia" w:ascii="仿宋" w:hAnsi="仿宋" w:eastAsia="仿宋" w:cs="仿宋"/>
                <w:b/>
                <w:bCs/>
                <w:sz w:val="20"/>
                <w:szCs w:val="20"/>
              </w:rPr>
              <w:t>文化、体育和娱乐业</w:t>
            </w:r>
          </w:p>
        </w:tc>
        <w:tc>
          <w:tcPr>
            <w:tcW w:w="1356" w:type="pct"/>
            <w:shd w:val="clear" w:color="auto" w:fill="E2EFD9" w:themeFill="accent6" w:themeFillTint="33"/>
            <w:vAlign w:val="center"/>
          </w:tcPr>
          <w:p w14:paraId="78C645F9">
            <w:pPr>
              <w:widowControl/>
              <w:spacing w:line="300" w:lineRule="auto"/>
              <w:jc w:val="center"/>
              <w:textAlignment w:val="center"/>
              <w:rPr>
                <w:rFonts w:hint="eastAsia" w:ascii="仿宋" w:hAnsi="仿宋" w:eastAsia="仿宋" w:cs="仿宋"/>
                <w:sz w:val="20"/>
                <w:szCs w:val="20"/>
              </w:rPr>
            </w:pPr>
            <w:r>
              <w:rPr>
                <w:rFonts w:hint="eastAsia" w:ascii="仿宋" w:hAnsi="仿宋" w:eastAsia="仿宋" w:cs="仿宋"/>
                <w:sz w:val="20"/>
                <w:szCs w:val="20"/>
              </w:rPr>
              <w:t>12</w:t>
            </w:r>
          </w:p>
        </w:tc>
        <w:tc>
          <w:tcPr>
            <w:tcW w:w="1611" w:type="pct"/>
            <w:shd w:val="clear" w:color="auto" w:fill="E2EFD9" w:themeFill="accent6" w:themeFillTint="33"/>
            <w:vAlign w:val="center"/>
          </w:tcPr>
          <w:p w14:paraId="66058236">
            <w:pPr>
              <w:widowControl/>
              <w:spacing w:line="300" w:lineRule="auto"/>
              <w:jc w:val="center"/>
              <w:textAlignment w:val="center"/>
              <w:rPr>
                <w:rFonts w:hint="eastAsia" w:ascii="仿宋" w:hAnsi="仿宋" w:eastAsia="仿宋" w:cs="仿宋"/>
                <w:sz w:val="20"/>
                <w:szCs w:val="20"/>
              </w:rPr>
            </w:pPr>
            <w:r>
              <w:rPr>
                <w:rFonts w:hint="eastAsia" w:ascii="仿宋" w:hAnsi="仿宋" w:eastAsia="仿宋" w:cs="仿宋"/>
                <w:sz w:val="20"/>
                <w:szCs w:val="20"/>
              </w:rPr>
              <w:t>4.55%</w:t>
            </w:r>
          </w:p>
        </w:tc>
      </w:tr>
      <w:tr w14:paraId="567024A3">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2031" w:type="pct"/>
            <w:shd w:val="clear" w:color="auto" w:fill="E2EFD9" w:themeFill="accent6" w:themeFillTint="33"/>
            <w:vAlign w:val="center"/>
          </w:tcPr>
          <w:p w14:paraId="69C05B6D">
            <w:pPr>
              <w:widowControl/>
              <w:spacing w:line="300" w:lineRule="auto"/>
              <w:jc w:val="center"/>
              <w:textAlignment w:val="center"/>
              <w:rPr>
                <w:rFonts w:hint="eastAsia" w:ascii="仿宋" w:hAnsi="仿宋" w:eastAsia="仿宋" w:cs="仿宋"/>
                <w:b w:val="0"/>
                <w:bCs w:val="0"/>
                <w:sz w:val="20"/>
                <w:szCs w:val="20"/>
              </w:rPr>
            </w:pPr>
            <w:r>
              <w:rPr>
                <w:rFonts w:hint="eastAsia" w:ascii="仿宋" w:hAnsi="仿宋" w:eastAsia="仿宋" w:cs="仿宋"/>
                <w:b/>
                <w:bCs/>
                <w:sz w:val="20"/>
                <w:szCs w:val="20"/>
              </w:rPr>
              <w:t>农、林、牧、渔业</w:t>
            </w:r>
          </w:p>
        </w:tc>
        <w:tc>
          <w:tcPr>
            <w:tcW w:w="1356" w:type="pct"/>
            <w:shd w:val="clear" w:color="auto" w:fill="E2EFD9" w:themeFill="accent6" w:themeFillTint="33"/>
            <w:vAlign w:val="center"/>
          </w:tcPr>
          <w:p w14:paraId="76A99CAB">
            <w:pPr>
              <w:widowControl/>
              <w:spacing w:line="300" w:lineRule="auto"/>
              <w:jc w:val="center"/>
              <w:textAlignment w:val="center"/>
              <w:rPr>
                <w:rFonts w:hint="eastAsia" w:ascii="仿宋" w:hAnsi="仿宋" w:eastAsia="仿宋" w:cs="仿宋"/>
                <w:sz w:val="20"/>
                <w:szCs w:val="20"/>
              </w:rPr>
            </w:pPr>
            <w:r>
              <w:rPr>
                <w:rFonts w:hint="eastAsia" w:ascii="仿宋" w:hAnsi="仿宋" w:eastAsia="仿宋" w:cs="仿宋"/>
                <w:sz w:val="20"/>
                <w:szCs w:val="20"/>
              </w:rPr>
              <w:t>12</w:t>
            </w:r>
          </w:p>
        </w:tc>
        <w:tc>
          <w:tcPr>
            <w:tcW w:w="1611" w:type="pct"/>
            <w:shd w:val="clear" w:color="auto" w:fill="E2EFD9" w:themeFill="accent6" w:themeFillTint="33"/>
            <w:vAlign w:val="center"/>
          </w:tcPr>
          <w:p w14:paraId="410874FD">
            <w:pPr>
              <w:widowControl/>
              <w:spacing w:line="300" w:lineRule="auto"/>
              <w:jc w:val="center"/>
              <w:textAlignment w:val="center"/>
              <w:rPr>
                <w:rFonts w:hint="eastAsia" w:ascii="仿宋" w:hAnsi="仿宋" w:eastAsia="仿宋" w:cs="仿宋"/>
                <w:sz w:val="20"/>
                <w:szCs w:val="20"/>
              </w:rPr>
            </w:pPr>
            <w:r>
              <w:rPr>
                <w:rFonts w:hint="eastAsia" w:ascii="仿宋" w:hAnsi="仿宋" w:eastAsia="仿宋" w:cs="仿宋"/>
                <w:sz w:val="20"/>
                <w:szCs w:val="20"/>
              </w:rPr>
              <w:t>4.55%</w:t>
            </w:r>
          </w:p>
        </w:tc>
      </w:tr>
      <w:tr w14:paraId="7BDAAB8B">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2031" w:type="pct"/>
            <w:shd w:val="clear" w:color="auto" w:fill="E2EFD9" w:themeFill="accent6" w:themeFillTint="33"/>
            <w:vAlign w:val="center"/>
          </w:tcPr>
          <w:p w14:paraId="2EBB018B">
            <w:pPr>
              <w:widowControl/>
              <w:spacing w:line="300" w:lineRule="auto"/>
              <w:jc w:val="center"/>
              <w:textAlignment w:val="center"/>
              <w:rPr>
                <w:rFonts w:hint="eastAsia" w:ascii="仿宋" w:hAnsi="仿宋" w:eastAsia="仿宋" w:cs="仿宋"/>
                <w:b w:val="0"/>
                <w:bCs w:val="0"/>
                <w:sz w:val="20"/>
                <w:szCs w:val="20"/>
              </w:rPr>
            </w:pPr>
            <w:r>
              <w:rPr>
                <w:rFonts w:hint="eastAsia" w:ascii="仿宋" w:hAnsi="仿宋" w:eastAsia="仿宋" w:cs="仿宋"/>
                <w:b/>
                <w:bCs/>
                <w:sz w:val="20"/>
                <w:szCs w:val="20"/>
              </w:rPr>
              <w:t>建筑业</w:t>
            </w:r>
          </w:p>
        </w:tc>
        <w:tc>
          <w:tcPr>
            <w:tcW w:w="1356" w:type="pct"/>
            <w:shd w:val="clear" w:color="auto" w:fill="E2EFD9" w:themeFill="accent6" w:themeFillTint="33"/>
            <w:vAlign w:val="center"/>
          </w:tcPr>
          <w:p w14:paraId="0337CBD9">
            <w:pPr>
              <w:widowControl/>
              <w:spacing w:line="300" w:lineRule="auto"/>
              <w:jc w:val="center"/>
              <w:textAlignment w:val="center"/>
              <w:rPr>
                <w:rFonts w:hint="eastAsia" w:ascii="仿宋" w:hAnsi="仿宋" w:eastAsia="仿宋" w:cs="仿宋"/>
                <w:sz w:val="20"/>
                <w:szCs w:val="20"/>
              </w:rPr>
            </w:pPr>
            <w:r>
              <w:rPr>
                <w:rFonts w:hint="eastAsia" w:ascii="仿宋" w:hAnsi="仿宋" w:eastAsia="仿宋" w:cs="仿宋"/>
                <w:sz w:val="20"/>
                <w:szCs w:val="20"/>
              </w:rPr>
              <w:t>9</w:t>
            </w:r>
          </w:p>
        </w:tc>
        <w:tc>
          <w:tcPr>
            <w:tcW w:w="1611" w:type="pct"/>
            <w:shd w:val="clear" w:color="auto" w:fill="E2EFD9" w:themeFill="accent6" w:themeFillTint="33"/>
            <w:vAlign w:val="center"/>
          </w:tcPr>
          <w:p w14:paraId="49F8496C">
            <w:pPr>
              <w:widowControl/>
              <w:spacing w:line="300" w:lineRule="auto"/>
              <w:jc w:val="center"/>
              <w:textAlignment w:val="center"/>
              <w:rPr>
                <w:rFonts w:hint="eastAsia" w:ascii="仿宋" w:hAnsi="仿宋" w:eastAsia="仿宋" w:cs="仿宋"/>
                <w:sz w:val="20"/>
                <w:szCs w:val="20"/>
              </w:rPr>
            </w:pPr>
            <w:r>
              <w:rPr>
                <w:rFonts w:hint="eastAsia" w:ascii="仿宋" w:hAnsi="仿宋" w:eastAsia="仿宋" w:cs="仿宋"/>
                <w:sz w:val="20"/>
                <w:szCs w:val="20"/>
              </w:rPr>
              <w:t>3.41%</w:t>
            </w:r>
          </w:p>
        </w:tc>
      </w:tr>
      <w:tr w14:paraId="44EC5F68">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2031" w:type="pct"/>
            <w:shd w:val="clear" w:color="auto" w:fill="E2EFD9" w:themeFill="accent6" w:themeFillTint="33"/>
            <w:vAlign w:val="center"/>
          </w:tcPr>
          <w:p w14:paraId="0B249A4C">
            <w:pPr>
              <w:widowControl/>
              <w:spacing w:line="300" w:lineRule="auto"/>
              <w:jc w:val="center"/>
              <w:textAlignment w:val="center"/>
              <w:rPr>
                <w:rFonts w:hint="eastAsia" w:ascii="仿宋" w:hAnsi="仿宋" w:eastAsia="仿宋" w:cs="仿宋"/>
                <w:b w:val="0"/>
                <w:bCs w:val="0"/>
                <w:sz w:val="20"/>
                <w:szCs w:val="20"/>
              </w:rPr>
            </w:pPr>
            <w:r>
              <w:rPr>
                <w:rFonts w:hint="eastAsia" w:ascii="仿宋" w:hAnsi="仿宋" w:eastAsia="仿宋" w:cs="仿宋"/>
                <w:b/>
                <w:bCs/>
                <w:sz w:val="20"/>
                <w:szCs w:val="20"/>
              </w:rPr>
              <w:t>居民服务、修理和其他服务业</w:t>
            </w:r>
          </w:p>
        </w:tc>
        <w:tc>
          <w:tcPr>
            <w:tcW w:w="1356" w:type="pct"/>
            <w:shd w:val="clear" w:color="auto" w:fill="E2EFD9" w:themeFill="accent6" w:themeFillTint="33"/>
            <w:vAlign w:val="center"/>
          </w:tcPr>
          <w:p w14:paraId="6550D052">
            <w:pPr>
              <w:widowControl/>
              <w:spacing w:line="300" w:lineRule="auto"/>
              <w:jc w:val="center"/>
              <w:textAlignment w:val="center"/>
              <w:rPr>
                <w:rFonts w:hint="eastAsia" w:ascii="仿宋" w:hAnsi="仿宋" w:eastAsia="仿宋" w:cs="仿宋"/>
                <w:sz w:val="20"/>
                <w:szCs w:val="20"/>
              </w:rPr>
            </w:pPr>
            <w:r>
              <w:rPr>
                <w:rFonts w:hint="eastAsia" w:ascii="仿宋" w:hAnsi="仿宋" w:eastAsia="仿宋" w:cs="仿宋"/>
                <w:sz w:val="20"/>
                <w:szCs w:val="20"/>
              </w:rPr>
              <w:t>9</w:t>
            </w:r>
          </w:p>
        </w:tc>
        <w:tc>
          <w:tcPr>
            <w:tcW w:w="1611" w:type="pct"/>
            <w:shd w:val="clear" w:color="auto" w:fill="E2EFD9" w:themeFill="accent6" w:themeFillTint="33"/>
            <w:vAlign w:val="center"/>
          </w:tcPr>
          <w:p w14:paraId="47B412F9">
            <w:pPr>
              <w:widowControl/>
              <w:spacing w:line="300" w:lineRule="auto"/>
              <w:jc w:val="center"/>
              <w:textAlignment w:val="center"/>
              <w:rPr>
                <w:rFonts w:hint="eastAsia" w:ascii="仿宋" w:hAnsi="仿宋" w:eastAsia="仿宋" w:cs="仿宋"/>
                <w:sz w:val="20"/>
                <w:szCs w:val="20"/>
              </w:rPr>
            </w:pPr>
            <w:r>
              <w:rPr>
                <w:rFonts w:hint="eastAsia" w:ascii="仿宋" w:hAnsi="仿宋" w:eastAsia="仿宋" w:cs="仿宋"/>
                <w:sz w:val="20"/>
                <w:szCs w:val="20"/>
              </w:rPr>
              <w:t>3.41%</w:t>
            </w:r>
          </w:p>
        </w:tc>
      </w:tr>
      <w:tr w14:paraId="325F0D5C">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2031" w:type="pct"/>
            <w:shd w:val="clear" w:color="auto" w:fill="E2EFD9" w:themeFill="accent6" w:themeFillTint="33"/>
            <w:vAlign w:val="center"/>
          </w:tcPr>
          <w:p w14:paraId="29CA1552">
            <w:pPr>
              <w:widowControl/>
              <w:spacing w:line="300" w:lineRule="auto"/>
              <w:jc w:val="center"/>
              <w:textAlignment w:val="center"/>
              <w:rPr>
                <w:rFonts w:hint="eastAsia" w:ascii="仿宋" w:hAnsi="仿宋" w:eastAsia="仿宋" w:cs="仿宋"/>
                <w:b w:val="0"/>
                <w:bCs w:val="0"/>
                <w:sz w:val="20"/>
                <w:szCs w:val="20"/>
              </w:rPr>
            </w:pPr>
            <w:r>
              <w:rPr>
                <w:rFonts w:hint="eastAsia" w:ascii="仿宋" w:hAnsi="仿宋" w:eastAsia="仿宋" w:cs="仿宋"/>
                <w:b/>
                <w:bCs/>
                <w:sz w:val="20"/>
                <w:szCs w:val="20"/>
              </w:rPr>
              <w:t>制造业</w:t>
            </w:r>
          </w:p>
        </w:tc>
        <w:tc>
          <w:tcPr>
            <w:tcW w:w="1356" w:type="pct"/>
            <w:shd w:val="clear" w:color="auto" w:fill="E2EFD9" w:themeFill="accent6" w:themeFillTint="33"/>
            <w:vAlign w:val="center"/>
          </w:tcPr>
          <w:p w14:paraId="1B975F8D">
            <w:pPr>
              <w:widowControl/>
              <w:spacing w:line="300" w:lineRule="auto"/>
              <w:jc w:val="center"/>
              <w:textAlignment w:val="center"/>
              <w:rPr>
                <w:rFonts w:hint="eastAsia" w:ascii="仿宋" w:hAnsi="仿宋" w:eastAsia="仿宋" w:cs="仿宋"/>
                <w:sz w:val="20"/>
                <w:szCs w:val="20"/>
              </w:rPr>
            </w:pPr>
            <w:r>
              <w:rPr>
                <w:rFonts w:hint="eastAsia" w:ascii="仿宋" w:hAnsi="仿宋" w:eastAsia="仿宋" w:cs="仿宋"/>
                <w:sz w:val="20"/>
                <w:szCs w:val="20"/>
              </w:rPr>
              <w:t>6</w:t>
            </w:r>
          </w:p>
        </w:tc>
        <w:tc>
          <w:tcPr>
            <w:tcW w:w="1611" w:type="pct"/>
            <w:shd w:val="clear" w:color="auto" w:fill="E2EFD9" w:themeFill="accent6" w:themeFillTint="33"/>
            <w:vAlign w:val="center"/>
          </w:tcPr>
          <w:p w14:paraId="6BEDE328">
            <w:pPr>
              <w:widowControl/>
              <w:spacing w:line="300" w:lineRule="auto"/>
              <w:jc w:val="center"/>
              <w:textAlignment w:val="center"/>
              <w:rPr>
                <w:rFonts w:hint="eastAsia" w:ascii="仿宋" w:hAnsi="仿宋" w:eastAsia="仿宋" w:cs="仿宋"/>
                <w:sz w:val="20"/>
                <w:szCs w:val="20"/>
              </w:rPr>
            </w:pPr>
            <w:r>
              <w:rPr>
                <w:rFonts w:hint="eastAsia" w:ascii="仿宋" w:hAnsi="仿宋" w:eastAsia="仿宋" w:cs="仿宋"/>
                <w:sz w:val="20"/>
                <w:szCs w:val="20"/>
              </w:rPr>
              <w:t>2.27%</w:t>
            </w:r>
          </w:p>
        </w:tc>
      </w:tr>
      <w:tr w14:paraId="4321EDEC">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2031" w:type="pct"/>
            <w:shd w:val="clear" w:color="auto" w:fill="E2EFD9" w:themeFill="accent6" w:themeFillTint="33"/>
            <w:vAlign w:val="center"/>
          </w:tcPr>
          <w:p w14:paraId="49ECB029">
            <w:pPr>
              <w:widowControl/>
              <w:spacing w:line="300" w:lineRule="auto"/>
              <w:jc w:val="center"/>
              <w:textAlignment w:val="center"/>
              <w:rPr>
                <w:rFonts w:hint="eastAsia" w:ascii="仿宋" w:hAnsi="仿宋" w:eastAsia="仿宋" w:cs="仿宋"/>
                <w:b w:val="0"/>
                <w:bCs w:val="0"/>
                <w:sz w:val="20"/>
                <w:szCs w:val="20"/>
              </w:rPr>
            </w:pPr>
            <w:r>
              <w:rPr>
                <w:rFonts w:hint="eastAsia" w:ascii="仿宋" w:hAnsi="仿宋" w:eastAsia="仿宋" w:cs="仿宋"/>
                <w:b/>
                <w:bCs/>
                <w:sz w:val="20"/>
                <w:szCs w:val="20"/>
              </w:rPr>
              <w:t>科学研究和技术服务业</w:t>
            </w:r>
          </w:p>
        </w:tc>
        <w:tc>
          <w:tcPr>
            <w:tcW w:w="1356" w:type="pct"/>
            <w:shd w:val="clear" w:color="auto" w:fill="E2EFD9" w:themeFill="accent6" w:themeFillTint="33"/>
            <w:vAlign w:val="center"/>
          </w:tcPr>
          <w:p w14:paraId="016BEFE7">
            <w:pPr>
              <w:widowControl/>
              <w:spacing w:line="300" w:lineRule="auto"/>
              <w:jc w:val="center"/>
              <w:textAlignment w:val="center"/>
              <w:rPr>
                <w:rFonts w:hint="eastAsia" w:ascii="仿宋" w:hAnsi="仿宋" w:eastAsia="仿宋" w:cs="仿宋"/>
                <w:sz w:val="20"/>
                <w:szCs w:val="20"/>
              </w:rPr>
            </w:pPr>
            <w:r>
              <w:rPr>
                <w:rFonts w:hint="eastAsia" w:ascii="仿宋" w:hAnsi="仿宋" w:eastAsia="仿宋" w:cs="仿宋"/>
                <w:sz w:val="20"/>
                <w:szCs w:val="20"/>
              </w:rPr>
              <w:t>5</w:t>
            </w:r>
          </w:p>
        </w:tc>
        <w:tc>
          <w:tcPr>
            <w:tcW w:w="1611" w:type="pct"/>
            <w:shd w:val="clear" w:color="auto" w:fill="E2EFD9" w:themeFill="accent6" w:themeFillTint="33"/>
            <w:vAlign w:val="center"/>
          </w:tcPr>
          <w:p w14:paraId="74FBE557">
            <w:pPr>
              <w:widowControl/>
              <w:spacing w:line="300" w:lineRule="auto"/>
              <w:jc w:val="center"/>
              <w:textAlignment w:val="center"/>
              <w:rPr>
                <w:rFonts w:hint="eastAsia" w:ascii="仿宋" w:hAnsi="仿宋" w:eastAsia="仿宋" w:cs="仿宋"/>
                <w:sz w:val="20"/>
                <w:szCs w:val="20"/>
              </w:rPr>
            </w:pPr>
            <w:r>
              <w:rPr>
                <w:rFonts w:hint="eastAsia" w:ascii="仿宋" w:hAnsi="仿宋" w:eastAsia="仿宋" w:cs="仿宋"/>
                <w:sz w:val="20"/>
                <w:szCs w:val="20"/>
              </w:rPr>
              <w:t>1.89%</w:t>
            </w:r>
          </w:p>
        </w:tc>
      </w:tr>
      <w:tr w14:paraId="757871F9">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2031" w:type="pct"/>
            <w:shd w:val="clear" w:color="auto" w:fill="E2EFD9" w:themeFill="accent6" w:themeFillTint="33"/>
            <w:vAlign w:val="center"/>
          </w:tcPr>
          <w:p w14:paraId="0E6B6EFD">
            <w:pPr>
              <w:widowControl/>
              <w:spacing w:line="300" w:lineRule="auto"/>
              <w:jc w:val="center"/>
              <w:textAlignment w:val="center"/>
              <w:rPr>
                <w:rFonts w:hint="eastAsia" w:ascii="仿宋" w:hAnsi="仿宋" w:eastAsia="仿宋" w:cs="仿宋"/>
                <w:b w:val="0"/>
                <w:bCs w:val="0"/>
                <w:sz w:val="20"/>
                <w:szCs w:val="20"/>
              </w:rPr>
            </w:pPr>
            <w:r>
              <w:rPr>
                <w:rFonts w:hint="eastAsia" w:ascii="仿宋" w:hAnsi="仿宋" w:eastAsia="仿宋" w:cs="仿宋"/>
                <w:b/>
                <w:bCs/>
                <w:sz w:val="20"/>
                <w:szCs w:val="20"/>
              </w:rPr>
              <w:t>房地产业</w:t>
            </w:r>
          </w:p>
        </w:tc>
        <w:tc>
          <w:tcPr>
            <w:tcW w:w="1356" w:type="pct"/>
            <w:shd w:val="clear" w:color="auto" w:fill="E2EFD9" w:themeFill="accent6" w:themeFillTint="33"/>
            <w:vAlign w:val="center"/>
          </w:tcPr>
          <w:p w14:paraId="4C91D699">
            <w:pPr>
              <w:widowControl/>
              <w:spacing w:line="300" w:lineRule="auto"/>
              <w:jc w:val="center"/>
              <w:textAlignment w:val="center"/>
              <w:rPr>
                <w:rFonts w:hint="eastAsia" w:ascii="仿宋" w:hAnsi="仿宋" w:eastAsia="仿宋" w:cs="仿宋"/>
                <w:sz w:val="20"/>
                <w:szCs w:val="20"/>
              </w:rPr>
            </w:pPr>
            <w:r>
              <w:rPr>
                <w:rFonts w:hint="eastAsia" w:ascii="仿宋" w:hAnsi="仿宋" w:eastAsia="仿宋" w:cs="仿宋"/>
                <w:sz w:val="20"/>
                <w:szCs w:val="20"/>
              </w:rPr>
              <w:t>2</w:t>
            </w:r>
          </w:p>
        </w:tc>
        <w:tc>
          <w:tcPr>
            <w:tcW w:w="1611" w:type="pct"/>
            <w:shd w:val="clear" w:color="auto" w:fill="E2EFD9" w:themeFill="accent6" w:themeFillTint="33"/>
            <w:vAlign w:val="center"/>
          </w:tcPr>
          <w:p w14:paraId="4BEEB915">
            <w:pPr>
              <w:widowControl/>
              <w:spacing w:line="300" w:lineRule="auto"/>
              <w:jc w:val="center"/>
              <w:textAlignment w:val="center"/>
              <w:rPr>
                <w:rFonts w:hint="eastAsia" w:ascii="仿宋" w:hAnsi="仿宋" w:eastAsia="仿宋" w:cs="仿宋"/>
                <w:sz w:val="20"/>
                <w:szCs w:val="20"/>
              </w:rPr>
            </w:pPr>
            <w:r>
              <w:rPr>
                <w:rFonts w:hint="eastAsia" w:ascii="仿宋" w:hAnsi="仿宋" w:eastAsia="仿宋" w:cs="仿宋"/>
                <w:sz w:val="20"/>
                <w:szCs w:val="20"/>
              </w:rPr>
              <w:t>0.76%</w:t>
            </w:r>
          </w:p>
        </w:tc>
      </w:tr>
      <w:tr w14:paraId="5556D657">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2031" w:type="pct"/>
            <w:shd w:val="clear" w:color="auto" w:fill="E2EFD9" w:themeFill="accent6" w:themeFillTint="33"/>
            <w:vAlign w:val="center"/>
          </w:tcPr>
          <w:p w14:paraId="48AC353F">
            <w:pPr>
              <w:widowControl/>
              <w:spacing w:line="300" w:lineRule="auto"/>
              <w:jc w:val="center"/>
              <w:textAlignment w:val="center"/>
              <w:rPr>
                <w:rFonts w:hint="eastAsia" w:ascii="仿宋" w:hAnsi="仿宋" w:eastAsia="仿宋" w:cs="仿宋"/>
                <w:b w:val="0"/>
                <w:bCs w:val="0"/>
                <w:sz w:val="20"/>
                <w:szCs w:val="20"/>
              </w:rPr>
            </w:pPr>
            <w:r>
              <w:rPr>
                <w:rFonts w:hint="eastAsia" w:ascii="仿宋" w:hAnsi="仿宋" w:eastAsia="仿宋" w:cs="仿宋"/>
                <w:b/>
                <w:bCs/>
                <w:sz w:val="20"/>
                <w:szCs w:val="20"/>
              </w:rPr>
              <w:t>金融业</w:t>
            </w:r>
          </w:p>
        </w:tc>
        <w:tc>
          <w:tcPr>
            <w:tcW w:w="1356" w:type="pct"/>
            <w:shd w:val="clear" w:color="auto" w:fill="E2EFD9" w:themeFill="accent6" w:themeFillTint="33"/>
            <w:vAlign w:val="center"/>
          </w:tcPr>
          <w:p w14:paraId="046A2D45">
            <w:pPr>
              <w:widowControl/>
              <w:spacing w:line="300" w:lineRule="auto"/>
              <w:jc w:val="center"/>
              <w:textAlignment w:val="center"/>
              <w:rPr>
                <w:rFonts w:hint="eastAsia" w:ascii="仿宋" w:hAnsi="仿宋" w:eastAsia="仿宋" w:cs="仿宋"/>
                <w:sz w:val="20"/>
                <w:szCs w:val="20"/>
              </w:rPr>
            </w:pPr>
            <w:r>
              <w:rPr>
                <w:rFonts w:hint="eastAsia" w:ascii="仿宋" w:hAnsi="仿宋" w:eastAsia="仿宋" w:cs="仿宋"/>
                <w:sz w:val="20"/>
                <w:szCs w:val="20"/>
              </w:rPr>
              <w:t>1</w:t>
            </w:r>
          </w:p>
        </w:tc>
        <w:tc>
          <w:tcPr>
            <w:tcW w:w="1611" w:type="pct"/>
            <w:shd w:val="clear" w:color="auto" w:fill="E2EFD9" w:themeFill="accent6" w:themeFillTint="33"/>
            <w:vAlign w:val="center"/>
          </w:tcPr>
          <w:p w14:paraId="349A4BDF">
            <w:pPr>
              <w:widowControl/>
              <w:spacing w:line="300" w:lineRule="auto"/>
              <w:jc w:val="center"/>
              <w:textAlignment w:val="center"/>
              <w:rPr>
                <w:rFonts w:hint="eastAsia" w:ascii="仿宋" w:hAnsi="仿宋" w:eastAsia="仿宋" w:cs="仿宋"/>
                <w:sz w:val="20"/>
                <w:szCs w:val="20"/>
              </w:rPr>
            </w:pPr>
            <w:r>
              <w:rPr>
                <w:rFonts w:hint="eastAsia" w:ascii="仿宋" w:hAnsi="仿宋" w:eastAsia="仿宋" w:cs="仿宋"/>
                <w:sz w:val="20"/>
                <w:szCs w:val="20"/>
              </w:rPr>
              <w:t>0.38%</w:t>
            </w:r>
          </w:p>
        </w:tc>
      </w:tr>
      <w:tr w14:paraId="50234C63">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2031" w:type="pct"/>
            <w:shd w:val="clear" w:color="auto" w:fill="E2EFD9" w:themeFill="accent6" w:themeFillTint="33"/>
            <w:vAlign w:val="center"/>
          </w:tcPr>
          <w:p w14:paraId="75273C32">
            <w:pPr>
              <w:widowControl/>
              <w:spacing w:line="300" w:lineRule="auto"/>
              <w:jc w:val="center"/>
              <w:textAlignment w:val="center"/>
              <w:rPr>
                <w:rFonts w:hint="eastAsia" w:ascii="仿宋" w:hAnsi="仿宋" w:eastAsia="仿宋" w:cs="仿宋"/>
                <w:b w:val="0"/>
                <w:bCs w:val="0"/>
                <w:sz w:val="20"/>
                <w:szCs w:val="20"/>
              </w:rPr>
            </w:pPr>
            <w:r>
              <w:rPr>
                <w:rFonts w:hint="eastAsia" w:ascii="仿宋" w:hAnsi="仿宋" w:eastAsia="仿宋" w:cs="仿宋"/>
                <w:b/>
                <w:bCs/>
                <w:sz w:val="20"/>
                <w:szCs w:val="20"/>
              </w:rPr>
              <w:t>采矿业</w:t>
            </w:r>
          </w:p>
        </w:tc>
        <w:tc>
          <w:tcPr>
            <w:tcW w:w="1356" w:type="pct"/>
            <w:shd w:val="clear" w:color="auto" w:fill="E2EFD9" w:themeFill="accent6" w:themeFillTint="33"/>
            <w:vAlign w:val="center"/>
          </w:tcPr>
          <w:p w14:paraId="40A42374">
            <w:pPr>
              <w:widowControl/>
              <w:spacing w:line="300" w:lineRule="auto"/>
              <w:jc w:val="center"/>
              <w:textAlignment w:val="center"/>
              <w:rPr>
                <w:rFonts w:hint="eastAsia" w:ascii="仿宋" w:hAnsi="仿宋" w:eastAsia="仿宋" w:cs="仿宋"/>
                <w:sz w:val="20"/>
                <w:szCs w:val="20"/>
              </w:rPr>
            </w:pPr>
            <w:r>
              <w:rPr>
                <w:rFonts w:hint="eastAsia" w:ascii="仿宋" w:hAnsi="仿宋" w:eastAsia="仿宋" w:cs="仿宋"/>
                <w:sz w:val="20"/>
                <w:szCs w:val="20"/>
              </w:rPr>
              <w:t>1</w:t>
            </w:r>
          </w:p>
        </w:tc>
        <w:tc>
          <w:tcPr>
            <w:tcW w:w="1611" w:type="pct"/>
            <w:shd w:val="clear" w:color="auto" w:fill="E2EFD9" w:themeFill="accent6" w:themeFillTint="33"/>
            <w:vAlign w:val="center"/>
          </w:tcPr>
          <w:p w14:paraId="6C6A52F3">
            <w:pPr>
              <w:widowControl/>
              <w:spacing w:line="300" w:lineRule="auto"/>
              <w:jc w:val="center"/>
              <w:textAlignment w:val="center"/>
              <w:rPr>
                <w:rFonts w:hint="eastAsia" w:ascii="仿宋" w:hAnsi="仿宋" w:eastAsia="仿宋" w:cs="仿宋"/>
                <w:sz w:val="20"/>
                <w:szCs w:val="20"/>
              </w:rPr>
            </w:pPr>
            <w:r>
              <w:rPr>
                <w:rFonts w:hint="eastAsia" w:ascii="仿宋" w:hAnsi="仿宋" w:eastAsia="仿宋" w:cs="仿宋"/>
                <w:sz w:val="20"/>
                <w:szCs w:val="20"/>
              </w:rPr>
              <w:t>0.38%</w:t>
            </w:r>
          </w:p>
        </w:tc>
      </w:tr>
      <w:tr w14:paraId="344E8C80">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2031" w:type="pct"/>
            <w:shd w:val="clear" w:color="auto" w:fill="E2EFD9" w:themeFill="accent6" w:themeFillTint="33"/>
            <w:vAlign w:val="center"/>
          </w:tcPr>
          <w:p w14:paraId="3D2B2278">
            <w:pPr>
              <w:widowControl/>
              <w:spacing w:line="300" w:lineRule="auto"/>
              <w:jc w:val="center"/>
              <w:textAlignment w:val="center"/>
              <w:rPr>
                <w:rFonts w:hint="eastAsia" w:ascii="仿宋" w:hAnsi="仿宋" w:eastAsia="仿宋" w:cs="仿宋"/>
                <w:b w:val="0"/>
                <w:bCs w:val="0"/>
                <w:sz w:val="20"/>
                <w:szCs w:val="20"/>
              </w:rPr>
            </w:pPr>
            <w:r>
              <w:rPr>
                <w:rFonts w:hint="eastAsia" w:ascii="仿宋" w:hAnsi="仿宋" w:eastAsia="仿宋" w:cs="仿宋"/>
                <w:b/>
                <w:bCs/>
                <w:sz w:val="20"/>
                <w:szCs w:val="20"/>
              </w:rPr>
              <w:t>电力、热力、燃气及水生产和供应业</w:t>
            </w:r>
          </w:p>
        </w:tc>
        <w:tc>
          <w:tcPr>
            <w:tcW w:w="1356" w:type="pct"/>
            <w:shd w:val="clear" w:color="auto" w:fill="E2EFD9" w:themeFill="accent6" w:themeFillTint="33"/>
            <w:vAlign w:val="center"/>
          </w:tcPr>
          <w:p w14:paraId="578D0C3A">
            <w:pPr>
              <w:widowControl/>
              <w:spacing w:line="300" w:lineRule="auto"/>
              <w:jc w:val="center"/>
              <w:textAlignment w:val="center"/>
              <w:rPr>
                <w:rFonts w:hint="eastAsia" w:ascii="仿宋" w:hAnsi="仿宋" w:eastAsia="仿宋" w:cs="仿宋"/>
                <w:sz w:val="20"/>
                <w:szCs w:val="20"/>
              </w:rPr>
            </w:pPr>
            <w:r>
              <w:rPr>
                <w:rFonts w:hint="eastAsia" w:ascii="仿宋" w:hAnsi="仿宋" w:eastAsia="仿宋" w:cs="仿宋"/>
                <w:sz w:val="20"/>
                <w:szCs w:val="20"/>
              </w:rPr>
              <w:t>1</w:t>
            </w:r>
          </w:p>
        </w:tc>
        <w:tc>
          <w:tcPr>
            <w:tcW w:w="1611" w:type="pct"/>
            <w:shd w:val="clear" w:color="auto" w:fill="E2EFD9" w:themeFill="accent6" w:themeFillTint="33"/>
            <w:vAlign w:val="center"/>
          </w:tcPr>
          <w:p w14:paraId="2F9FF342">
            <w:pPr>
              <w:widowControl/>
              <w:spacing w:line="300" w:lineRule="auto"/>
              <w:jc w:val="center"/>
              <w:textAlignment w:val="center"/>
              <w:rPr>
                <w:rFonts w:hint="eastAsia" w:ascii="仿宋" w:hAnsi="仿宋" w:eastAsia="仿宋" w:cs="仿宋"/>
                <w:sz w:val="20"/>
                <w:szCs w:val="20"/>
              </w:rPr>
            </w:pPr>
            <w:r>
              <w:rPr>
                <w:rFonts w:hint="eastAsia" w:ascii="仿宋" w:hAnsi="仿宋" w:eastAsia="仿宋" w:cs="仿宋"/>
                <w:sz w:val="20"/>
                <w:szCs w:val="20"/>
              </w:rPr>
              <w:t>0.38%</w:t>
            </w:r>
          </w:p>
        </w:tc>
      </w:tr>
      <w:tr w14:paraId="65D2A497">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2031" w:type="pct"/>
            <w:shd w:val="clear" w:color="auto" w:fill="E2EFD9" w:themeFill="accent6" w:themeFillTint="33"/>
            <w:vAlign w:val="center"/>
          </w:tcPr>
          <w:p w14:paraId="7B49C0D4">
            <w:pPr>
              <w:widowControl/>
              <w:spacing w:line="300" w:lineRule="auto"/>
              <w:jc w:val="center"/>
              <w:textAlignment w:val="center"/>
              <w:rPr>
                <w:rFonts w:hint="eastAsia" w:ascii="仿宋" w:hAnsi="仿宋" w:eastAsia="仿宋" w:cs="仿宋"/>
                <w:b w:val="0"/>
                <w:bCs w:val="0"/>
                <w:sz w:val="20"/>
                <w:szCs w:val="20"/>
              </w:rPr>
            </w:pPr>
            <w:r>
              <w:rPr>
                <w:rFonts w:hint="eastAsia" w:ascii="仿宋" w:hAnsi="仿宋" w:eastAsia="仿宋" w:cs="仿宋"/>
                <w:b/>
                <w:bCs/>
                <w:sz w:val="20"/>
                <w:szCs w:val="20"/>
              </w:rPr>
              <w:t>合计</w:t>
            </w:r>
          </w:p>
        </w:tc>
        <w:tc>
          <w:tcPr>
            <w:tcW w:w="1356" w:type="pct"/>
            <w:shd w:val="clear" w:color="auto" w:fill="E2EFD9" w:themeFill="accent6" w:themeFillTint="33"/>
            <w:vAlign w:val="center"/>
          </w:tcPr>
          <w:p w14:paraId="4338805F">
            <w:pPr>
              <w:widowControl/>
              <w:spacing w:line="300" w:lineRule="auto"/>
              <w:jc w:val="center"/>
              <w:textAlignment w:val="center"/>
              <w:rPr>
                <w:rFonts w:hint="eastAsia" w:ascii="仿宋" w:hAnsi="仿宋" w:eastAsia="仿宋" w:cs="仿宋"/>
                <w:sz w:val="20"/>
                <w:szCs w:val="20"/>
              </w:rPr>
            </w:pPr>
            <w:r>
              <w:rPr>
                <w:rFonts w:hint="eastAsia" w:ascii="仿宋" w:hAnsi="仿宋" w:eastAsia="仿宋" w:cs="仿宋"/>
                <w:sz w:val="20"/>
                <w:szCs w:val="20"/>
              </w:rPr>
              <w:t>264</w:t>
            </w:r>
          </w:p>
        </w:tc>
        <w:tc>
          <w:tcPr>
            <w:tcW w:w="1611" w:type="pct"/>
            <w:shd w:val="clear" w:color="auto" w:fill="E2EFD9" w:themeFill="accent6" w:themeFillTint="33"/>
            <w:vAlign w:val="center"/>
          </w:tcPr>
          <w:p w14:paraId="4C769242">
            <w:pPr>
              <w:widowControl/>
              <w:spacing w:line="300" w:lineRule="auto"/>
              <w:jc w:val="center"/>
              <w:textAlignment w:val="center"/>
              <w:rPr>
                <w:rFonts w:hint="eastAsia" w:ascii="仿宋" w:hAnsi="仿宋" w:eastAsia="仿宋" w:cs="仿宋"/>
                <w:sz w:val="20"/>
                <w:szCs w:val="20"/>
              </w:rPr>
            </w:pPr>
            <w:r>
              <w:rPr>
                <w:rFonts w:hint="eastAsia" w:ascii="仿宋" w:hAnsi="仿宋" w:eastAsia="仿宋" w:cs="仿宋"/>
                <w:sz w:val="20"/>
                <w:szCs w:val="20"/>
              </w:rPr>
              <w:t>100%</w:t>
            </w:r>
          </w:p>
        </w:tc>
      </w:tr>
    </w:tbl>
    <w:p w14:paraId="50874C10">
      <w:pPr>
        <w:pStyle w:val="3"/>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毕业生就业单位性质分布</w:t>
      </w:r>
    </w:p>
    <w:p w14:paraId="5FBD8E69">
      <w:pPr>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我院</w:t>
      </w:r>
      <w:r>
        <w:rPr>
          <w:rFonts w:hint="eastAsia" w:ascii="仿宋" w:hAnsi="仿宋" w:eastAsia="仿宋" w:cs="仿宋"/>
          <w:sz w:val="32"/>
          <w:szCs w:val="32"/>
        </w:rPr>
        <w:t>校2024届毕业生单位性质以“其他企业（含民营企业等）”为主，占比为52.27%；“个体工商户”次之，占比为25.38%。</w:t>
      </w:r>
    </w:p>
    <w:tbl>
      <w:tblPr>
        <w:tblStyle w:val="27"/>
        <w:tblW w:w="5000" w:type="pct"/>
        <w:tblInd w:w="0" w:type="dxa"/>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Layout w:type="autofit"/>
        <w:tblCellMar>
          <w:top w:w="0" w:type="dxa"/>
          <w:left w:w="108" w:type="dxa"/>
          <w:bottom w:w="0" w:type="dxa"/>
          <w:right w:w="108" w:type="dxa"/>
        </w:tblCellMar>
      </w:tblPr>
      <w:tblGrid>
        <w:gridCol w:w="3499"/>
        <w:gridCol w:w="2276"/>
        <w:gridCol w:w="2747"/>
      </w:tblGrid>
      <w:tr w14:paraId="328AB6A6">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2052" w:type="pct"/>
            <w:tcBorders>
              <w:top w:val="single" w:color="70AD47" w:themeColor="accent6" w:sz="4" w:space="0"/>
              <w:left w:val="single" w:color="70AD47" w:themeColor="accent6" w:sz="4" w:space="0"/>
              <w:bottom w:val="single" w:color="70AD47" w:themeColor="accent6" w:sz="4" w:space="0"/>
              <w:right w:val="nil"/>
              <w:insideH w:val="single" w:sz="4" w:space="0"/>
              <w:insideV w:val="nil"/>
            </w:tcBorders>
            <w:shd w:val="clear" w:color="auto" w:fill="70AD47" w:themeFill="accent6"/>
            <w:vAlign w:val="center"/>
          </w:tcPr>
          <w:p w14:paraId="1C6BF719">
            <w:pPr>
              <w:spacing w:line="300" w:lineRule="auto"/>
              <w:jc w:val="center"/>
              <w:rPr>
                <w:rFonts w:ascii="宋体" w:hAnsi="宋体" w:cs="宋体"/>
                <w:b w:val="0"/>
                <w:bCs w:val="0"/>
                <w:color w:val="FFFFFF" w:themeColor="background1"/>
                <w:sz w:val="20"/>
                <w:szCs w:val="20"/>
                <w14:textFill>
                  <w14:solidFill>
                    <w14:schemeClr w14:val="bg1"/>
                  </w14:solidFill>
                </w14:textFill>
              </w:rPr>
            </w:pPr>
            <w:r>
              <w:rPr>
                <w:rFonts w:hint="eastAsia" w:ascii="宋体" w:hAnsi="宋体" w:cs="宋体"/>
                <w:b/>
                <w:bCs/>
                <w:color w:val="auto"/>
                <w:sz w:val="20"/>
                <w:szCs w:val="20"/>
              </w:rPr>
              <w:t>单位性质</w:t>
            </w:r>
          </w:p>
        </w:tc>
        <w:tc>
          <w:tcPr>
            <w:tcW w:w="1335" w:type="pct"/>
            <w:tcBorders>
              <w:top w:val="single" w:color="70AD47" w:themeColor="accent6" w:sz="4" w:space="0"/>
              <w:bottom w:val="single" w:color="70AD47" w:themeColor="accent6" w:sz="4" w:space="0"/>
              <w:right w:val="nil"/>
              <w:insideH w:val="single" w:sz="4" w:space="0"/>
              <w:insideV w:val="nil"/>
            </w:tcBorders>
            <w:shd w:val="clear" w:color="auto" w:fill="70AD47" w:themeFill="accent6"/>
            <w:vAlign w:val="center"/>
          </w:tcPr>
          <w:p w14:paraId="763D93DF">
            <w:pPr>
              <w:spacing w:line="300" w:lineRule="auto"/>
              <w:jc w:val="center"/>
              <w:rPr>
                <w:rFonts w:ascii="宋体" w:hAnsi="宋体" w:cs="宋体"/>
                <w:b w:val="0"/>
                <w:bCs w:val="0"/>
                <w:color w:val="FFFFFF" w:themeColor="background1"/>
                <w:sz w:val="20"/>
                <w:szCs w:val="20"/>
                <w14:textFill>
                  <w14:solidFill>
                    <w14:schemeClr w14:val="bg1"/>
                  </w14:solidFill>
                </w14:textFill>
              </w:rPr>
            </w:pPr>
            <w:r>
              <w:rPr>
                <w:rFonts w:hint="eastAsia" w:ascii="宋体" w:hAnsi="宋体" w:cs="宋体"/>
                <w:b/>
                <w:bCs/>
                <w:color w:val="auto"/>
                <w:sz w:val="20"/>
                <w:szCs w:val="20"/>
              </w:rPr>
              <w:t>就业人数</w:t>
            </w:r>
          </w:p>
        </w:tc>
        <w:tc>
          <w:tcPr>
            <w:tcW w:w="1611" w:type="pct"/>
            <w:tcBorders>
              <w:top w:val="single" w:color="70AD47" w:themeColor="accent6" w:sz="4" w:space="0"/>
              <w:bottom w:val="single" w:color="70AD47" w:themeColor="accent6" w:sz="4" w:space="0"/>
              <w:right w:val="single" w:color="70AD47" w:themeColor="accent6" w:sz="4" w:space="0"/>
              <w:insideH w:val="single" w:sz="4" w:space="0"/>
              <w:insideV w:val="nil"/>
            </w:tcBorders>
            <w:shd w:val="clear" w:color="auto" w:fill="70AD47" w:themeFill="accent6"/>
            <w:vAlign w:val="center"/>
          </w:tcPr>
          <w:p w14:paraId="55180D63">
            <w:pPr>
              <w:spacing w:line="300" w:lineRule="auto"/>
              <w:jc w:val="center"/>
              <w:rPr>
                <w:rFonts w:ascii="宋体" w:hAnsi="宋体" w:cs="宋体"/>
                <w:b w:val="0"/>
                <w:bCs w:val="0"/>
                <w:color w:val="FFFFFF" w:themeColor="background1"/>
                <w:sz w:val="20"/>
                <w:szCs w:val="20"/>
                <w14:textFill>
                  <w14:solidFill>
                    <w14:schemeClr w14:val="bg1"/>
                  </w14:solidFill>
                </w14:textFill>
              </w:rPr>
            </w:pPr>
            <w:r>
              <w:rPr>
                <w:rFonts w:hint="eastAsia" w:ascii="宋体" w:hAnsi="宋体" w:cs="宋体"/>
                <w:b/>
                <w:bCs/>
                <w:color w:val="auto"/>
                <w:sz w:val="20"/>
                <w:szCs w:val="20"/>
              </w:rPr>
              <w:t>占比</w:t>
            </w:r>
          </w:p>
        </w:tc>
      </w:tr>
      <w:tr w14:paraId="0471EB96">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2052" w:type="pct"/>
            <w:shd w:val="clear" w:color="auto" w:fill="E2EFD9" w:themeFill="accent6" w:themeFillTint="33"/>
            <w:vAlign w:val="center"/>
          </w:tcPr>
          <w:p w14:paraId="415FDE6F">
            <w:pPr>
              <w:widowControl/>
              <w:spacing w:line="300" w:lineRule="auto"/>
              <w:jc w:val="center"/>
              <w:textAlignment w:val="center"/>
              <w:rPr>
                <w:rFonts w:cs="Times New Roman"/>
                <w:b w:val="0"/>
                <w:bCs w:val="0"/>
                <w:sz w:val="20"/>
                <w:szCs w:val="20"/>
              </w:rPr>
            </w:pPr>
            <w:r>
              <w:rPr>
                <w:rFonts w:hint="eastAsia" w:cs="Times New Roman"/>
                <w:b/>
                <w:bCs/>
                <w:sz w:val="20"/>
                <w:szCs w:val="20"/>
              </w:rPr>
              <w:t>其他企业（含民营企业等）</w:t>
            </w:r>
          </w:p>
        </w:tc>
        <w:tc>
          <w:tcPr>
            <w:tcW w:w="1335" w:type="pct"/>
            <w:shd w:val="clear" w:color="auto" w:fill="E2EFD9" w:themeFill="accent6" w:themeFillTint="33"/>
            <w:vAlign w:val="center"/>
          </w:tcPr>
          <w:p w14:paraId="3E4A7626">
            <w:pPr>
              <w:widowControl/>
              <w:spacing w:line="300" w:lineRule="auto"/>
              <w:jc w:val="center"/>
              <w:textAlignment w:val="center"/>
              <w:rPr>
                <w:rFonts w:cs="Times New Roman"/>
                <w:sz w:val="20"/>
                <w:szCs w:val="20"/>
              </w:rPr>
            </w:pPr>
            <w:r>
              <w:rPr>
                <w:rFonts w:hint="eastAsia" w:cs="Times New Roman"/>
                <w:sz w:val="20"/>
                <w:szCs w:val="20"/>
              </w:rPr>
              <w:t>138</w:t>
            </w:r>
          </w:p>
        </w:tc>
        <w:tc>
          <w:tcPr>
            <w:tcW w:w="1611" w:type="pct"/>
            <w:shd w:val="clear" w:color="auto" w:fill="E2EFD9" w:themeFill="accent6" w:themeFillTint="33"/>
            <w:vAlign w:val="center"/>
          </w:tcPr>
          <w:p w14:paraId="581D3B56">
            <w:pPr>
              <w:widowControl/>
              <w:spacing w:line="300" w:lineRule="auto"/>
              <w:jc w:val="center"/>
              <w:textAlignment w:val="center"/>
              <w:rPr>
                <w:rFonts w:cs="Times New Roman"/>
                <w:sz w:val="20"/>
                <w:szCs w:val="20"/>
              </w:rPr>
            </w:pPr>
            <w:r>
              <w:rPr>
                <w:rFonts w:hint="eastAsia" w:cs="Times New Roman"/>
                <w:sz w:val="20"/>
                <w:szCs w:val="20"/>
              </w:rPr>
              <w:t>52.27%</w:t>
            </w:r>
          </w:p>
        </w:tc>
      </w:tr>
      <w:tr w14:paraId="2615EB07">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2052" w:type="pct"/>
            <w:shd w:val="clear" w:color="auto" w:fill="E2EFD9" w:themeFill="accent6" w:themeFillTint="33"/>
            <w:vAlign w:val="center"/>
          </w:tcPr>
          <w:p w14:paraId="723FDF97">
            <w:pPr>
              <w:widowControl/>
              <w:spacing w:line="300" w:lineRule="auto"/>
              <w:jc w:val="center"/>
              <w:textAlignment w:val="center"/>
              <w:rPr>
                <w:rFonts w:cs="Times New Roman"/>
                <w:b w:val="0"/>
                <w:bCs w:val="0"/>
                <w:sz w:val="20"/>
                <w:szCs w:val="20"/>
              </w:rPr>
            </w:pPr>
            <w:r>
              <w:rPr>
                <w:rFonts w:hint="eastAsia" w:cs="Times New Roman"/>
                <w:b/>
                <w:bCs/>
                <w:sz w:val="20"/>
                <w:szCs w:val="20"/>
              </w:rPr>
              <w:t>个体工商户</w:t>
            </w:r>
          </w:p>
        </w:tc>
        <w:tc>
          <w:tcPr>
            <w:tcW w:w="1335" w:type="pct"/>
            <w:shd w:val="clear" w:color="auto" w:fill="E2EFD9" w:themeFill="accent6" w:themeFillTint="33"/>
            <w:vAlign w:val="center"/>
          </w:tcPr>
          <w:p w14:paraId="3AB58DD2">
            <w:pPr>
              <w:widowControl/>
              <w:spacing w:line="300" w:lineRule="auto"/>
              <w:jc w:val="center"/>
              <w:textAlignment w:val="center"/>
              <w:rPr>
                <w:rFonts w:cs="Times New Roman"/>
                <w:sz w:val="20"/>
                <w:szCs w:val="20"/>
              </w:rPr>
            </w:pPr>
            <w:r>
              <w:rPr>
                <w:rFonts w:hint="eastAsia" w:cs="Times New Roman"/>
                <w:sz w:val="20"/>
                <w:szCs w:val="20"/>
              </w:rPr>
              <w:t>67</w:t>
            </w:r>
          </w:p>
        </w:tc>
        <w:tc>
          <w:tcPr>
            <w:tcW w:w="1611" w:type="pct"/>
            <w:shd w:val="clear" w:color="auto" w:fill="E2EFD9" w:themeFill="accent6" w:themeFillTint="33"/>
            <w:vAlign w:val="center"/>
          </w:tcPr>
          <w:p w14:paraId="296825E1">
            <w:pPr>
              <w:widowControl/>
              <w:spacing w:line="300" w:lineRule="auto"/>
              <w:jc w:val="center"/>
              <w:textAlignment w:val="center"/>
              <w:rPr>
                <w:rFonts w:cs="Times New Roman"/>
                <w:sz w:val="20"/>
                <w:szCs w:val="20"/>
              </w:rPr>
            </w:pPr>
            <w:r>
              <w:rPr>
                <w:rFonts w:hint="eastAsia" w:cs="Times New Roman"/>
                <w:sz w:val="20"/>
                <w:szCs w:val="20"/>
              </w:rPr>
              <w:t>25.38%</w:t>
            </w:r>
          </w:p>
        </w:tc>
      </w:tr>
      <w:tr w14:paraId="7CE17954">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2052" w:type="pct"/>
            <w:shd w:val="clear" w:color="auto" w:fill="E2EFD9" w:themeFill="accent6" w:themeFillTint="33"/>
            <w:vAlign w:val="center"/>
          </w:tcPr>
          <w:p w14:paraId="36C5CAF9">
            <w:pPr>
              <w:widowControl/>
              <w:spacing w:line="300" w:lineRule="auto"/>
              <w:jc w:val="center"/>
              <w:textAlignment w:val="center"/>
              <w:rPr>
                <w:rFonts w:cs="Times New Roman"/>
                <w:b w:val="0"/>
                <w:bCs w:val="0"/>
                <w:sz w:val="20"/>
                <w:szCs w:val="20"/>
              </w:rPr>
            </w:pPr>
            <w:r>
              <w:rPr>
                <w:rFonts w:hint="eastAsia" w:cs="Times New Roman"/>
                <w:b/>
                <w:bCs/>
                <w:sz w:val="20"/>
                <w:szCs w:val="20"/>
              </w:rPr>
              <w:t>国有企业</w:t>
            </w:r>
          </w:p>
        </w:tc>
        <w:tc>
          <w:tcPr>
            <w:tcW w:w="1335" w:type="pct"/>
            <w:shd w:val="clear" w:color="auto" w:fill="E2EFD9" w:themeFill="accent6" w:themeFillTint="33"/>
            <w:vAlign w:val="center"/>
          </w:tcPr>
          <w:p w14:paraId="1596C5D9">
            <w:pPr>
              <w:widowControl/>
              <w:spacing w:line="300" w:lineRule="auto"/>
              <w:jc w:val="center"/>
              <w:textAlignment w:val="center"/>
              <w:rPr>
                <w:rFonts w:cs="Times New Roman"/>
                <w:sz w:val="20"/>
                <w:szCs w:val="20"/>
              </w:rPr>
            </w:pPr>
            <w:r>
              <w:rPr>
                <w:rFonts w:hint="eastAsia" w:cs="Times New Roman"/>
                <w:sz w:val="20"/>
                <w:szCs w:val="20"/>
              </w:rPr>
              <w:t>13</w:t>
            </w:r>
          </w:p>
        </w:tc>
        <w:tc>
          <w:tcPr>
            <w:tcW w:w="1611" w:type="pct"/>
            <w:shd w:val="clear" w:color="auto" w:fill="E2EFD9" w:themeFill="accent6" w:themeFillTint="33"/>
            <w:vAlign w:val="center"/>
          </w:tcPr>
          <w:p w14:paraId="79B72C31">
            <w:pPr>
              <w:widowControl/>
              <w:spacing w:line="300" w:lineRule="auto"/>
              <w:jc w:val="center"/>
              <w:textAlignment w:val="center"/>
              <w:rPr>
                <w:rFonts w:cs="Times New Roman"/>
                <w:sz w:val="20"/>
                <w:szCs w:val="20"/>
              </w:rPr>
            </w:pPr>
            <w:r>
              <w:rPr>
                <w:rFonts w:hint="eastAsia" w:cs="Times New Roman"/>
                <w:sz w:val="20"/>
                <w:szCs w:val="20"/>
              </w:rPr>
              <w:t>4.92%</w:t>
            </w:r>
          </w:p>
        </w:tc>
      </w:tr>
      <w:tr w14:paraId="22EADE16">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2052" w:type="pct"/>
            <w:shd w:val="clear" w:color="auto" w:fill="E2EFD9" w:themeFill="accent6" w:themeFillTint="33"/>
            <w:vAlign w:val="center"/>
          </w:tcPr>
          <w:p w14:paraId="0AA8B681">
            <w:pPr>
              <w:widowControl/>
              <w:spacing w:line="300" w:lineRule="auto"/>
              <w:jc w:val="center"/>
              <w:textAlignment w:val="center"/>
              <w:rPr>
                <w:rFonts w:cs="Times New Roman"/>
                <w:b w:val="0"/>
                <w:bCs w:val="0"/>
                <w:sz w:val="20"/>
                <w:szCs w:val="20"/>
              </w:rPr>
            </w:pPr>
            <w:r>
              <w:rPr>
                <w:rFonts w:hint="eastAsia" w:cs="Times New Roman"/>
                <w:b/>
                <w:bCs/>
                <w:sz w:val="20"/>
                <w:szCs w:val="20"/>
              </w:rPr>
              <w:t>其他事业单位</w:t>
            </w:r>
          </w:p>
        </w:tc>
        <w:tc>
          <w:tcPr>
            <w:tcW w:w="1335" w:type="pct"/>
            <w:shd w:val="clear" w:color="auto" w:fill="E2EFD9" w:themeFill="accent6" w:themeFillTint="33"/>
            <w:vAlign w:val="center"/>
          </w:tcPr>
          <w:p w14:paraId="123FC62A">
            <w:pPr>
              <w:widowControl/>
              <w:spacing w:line="300" w:lineRule="auto"/>
              <w:jc w:val="center"/>
              <w:textAlignment w:val="center"/>
              <w:rPr>
                <w:rFonts w:cs="Times New Roman"/>
                <w:sz w:val="20"/>
                <w:szCs w:val="20"/>
              </w:rPr>
            </w:pPr>
            <w:r>
              <w:rPr>
                <w:rFonts w:hint="eastAsia" w:cs="Times New Roman"/>
                <w:sz w:val="20"/>
                <w:szCs w:val="20"/>
              </w:rPr>
              <w:t>13</w:t>
            </w:r>
          </w:p>
        </w:tc>
        <w:tc>
          <w:tcPr>
            <w:tcW w:w="1611" w:type="pct"/>
            <w:shd w:val="clear" w:color="auto" w:fill="E2EFD9" w:themeFill="accent6" w:themeFillTint="33"/>
            <w:vAlign w:val="center"/>
          </w:tcPr>
          <w:p w14:paraId="605C7490">
            <w:pPr>
              <w:widowControl/>
              <w:spacing w:line="300" w:lineRule="auto"/>
              <w:jc w:val="center"/>
              <w:textAlignment w:val="center"/>
              <w:rPr>
                <w:rFonts w:cs="Times New Roman"/>
                <w:sz w:val="20"/>
                <w:szCs w:val="20"/>
              </w:rPr>
            </w:pPr>
            <w:r>
              <w:rPr>
                <w:rFonts w:hint="eastAsia" w:cs="Times New Roman"/>
                <w:sz w:val="20"/>
                <w:szCs w:val="20"/>
              </w:rPr>
              <w:t>4.92%</w:t>
            </w:r>
          </w:p>
        </w:tc>
      </w:tr>
      <w:tr w14:paraId="096EA6F9">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2052" w:type="pct"/>
            <w:shd w:val="clear" w:color="auto" w:fill="E2EFD9" w:themeFill="accent6" w:themeFillTint="33"/>
            <w:vAlign w:val="center"/>
          </w:tcPr>
          <w:p w14:paraId="1D82CD4E">
            <w:pPr>
              <w:widowControl/>
              <w:spacing w:line="300" w:lineRule="auto"/>
              <w:jc w:val="center"/>
              <w:textAlignment w:val="center"/>
              <w:rPr>
                <w:rFonts w:cs="Times New Roman"/>
                <w:b w:val="0"/>
                <w:bCs w:val="0"/>
                <w:sz w:val="20"/>
                <w:szCs w:val="20"/>
              </w:rPr>
            </w:pPr>
            <w:r>
              <w:rPr>
                <w:rFonts w:hint="eastAsia" w:cs="Times New Roman"/>
                <w:b/>
                <w:bCs/>
                <w:sz w:val="20"/>
                <w:szCs w:val="20"/>
              </w:rPr>
              <w:t>其他（含社会组织、国际组织等）</w:t>
            </w:r>
          </w:p>
        </w:tc>
        <w:tc>
          <w:tcPr>
            <w:tcW w:w="1335" w:type="pct"/>
            <w:shd w:val="clear" w:color="auto" w:fill="E2EFD9" w:themeFill="accent6" w:themeFillTint="33"/>
            <w:vAlign w:val="center"/>
          </w:tcPr>
          <w:p w14:paraId="46448F9E">
            <w:pPr>
              <w:widowControl/>
              <w:spacing w:line="300" w:lineRule="auto"/>
              <w:jc w:val="center"/>
              <w:textAlignment w:val="center"/>
              <w:rPr>
                <w:rFonts w:cs="Times New Roman"/>
                <w:sz w:val="20"/>
                <w:szCs w:val="20"/>
              </w:rPr>
            </w:pPr>
            <w:r>
              <w:rPr>
                <w:rFonts w:hint="eastAsia" w:cs="Times New Roman"/>
                <w:sz w:val="20"/>
                <w:szCs w:val="20"/>
              </w:rPr>
              <w:t>12</w:t>
            </w:r>
          </w:p>
        </w:tc>
        <w:tc>
          <w:tcPr>
            <w:tcW w:w="1611" w:type="pct"/>
            <w:shd w:val="clear" w:color="auto" w:fill="E2EFD9" w:themeFill="accent6" w:themeFillTint="33"/>
            <w:vAlign w:val="center"/>
          </w:tcPr>
          <w:p w14:paraId="7E2D6FA7">
            <w:pPr>
              <w:widowControl/>
              <w:spacing w:line="300" w:lineRule="auto"/>
              <w:jc w:val="center"/>
              <w:textAlignment w:val="center"/>
              <w:rPr>
                <w:rFonts w:cs="Times New Roman"/>
                <w:sz w:val="20"/>
                <w:szCs w:val="20"/>
              </w:rPr>
            </w:pPr>
            <w:r>
              <w:rPr>
                <w:rFonts w:hint="eastAsia" w:cs="Times New Roman"/>
                <w:sz w:val="20"/>
                <w:szCs w:val="20"/>
              </w:rPr>
              <w:t>4.55%</w:t>
            </w:r>
          </w:p>
        </w:tc>
      </w:tr>
      <w:tr w14:paraId="0252E44F">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2052" w:type="pct"/>
            <w:shd w:val="clear" w:color="auto" w:fill="E2EFD9" w:themeFill="accent6" w:themeFillTint="33"/>
            <w:vAlign w:val="center"/>
          </w:tcPr>
          <w:p w14:paraId="510D59B7">
            <w:pPr>
              <w:widowControl/>
              <w:spacing w:line="300" w:lineRule="auto"/>
              <w:jc w:val="center"/>
              <w:textAlignment w:val="center"/>
              <w:rPr>
                <w:rFonts w:cs="Times New Roman"/>
                <w:b w:val="0"/>
                <w:bCs w:val="0"/>
                <w:sz w:val="20"/>
                <w:szCs w:val="20"/>
              </w:rPr>
            </w:pPr>
            <w:r>
              <w:rPr>
                <w:rFonts w:hint="eastAsia" w:cs="Times New Roman"/>
                <w:b/>
                <w:bCs/>
                <w:sz w:val="20"/>
                <w:szCs w:val="20"/>
              </w:rPr>
              <w:t>中等、初等教育单位</w:t>
            </w:r>
          </w:p>
        </w:tc>
        <w:tc>
          <w:tcPr>
            <w:tcW w:w="1335" w:type="pct"/>
            <w:shd w:val="clear" w:color="auto" w:fill="E2EFD9" w:themeFill="accent6" w:themeFillTint="33"/>
            <w:vAlign w:val="center"/>
          </w:tcPr>
          <w:p w14:paraId="3EC93B98">
            <w:pPr>
              <w:widowControl/>
              <w:spacing w:line="300" w:lineRule="auto"/>
              <w:jc w:val="center"/>
              <w:textAlignment w:val="center"/>
              <w:rPr>
                <w:rFonts w:cs="Times New Roman"/>
                <w:sz w:val="20"/>
                <w:szCs w:val="20"/>
              </w:rPr>
            </w:pPr>
            <w:r>
              <w:rPr>
                <w:rFonts w:hint="eastAsia" w:cs="Times New Roman"/>
                <w:sz w:val="20"/>
                <w:szCs w:val="20"/>
              </w:rPr>
              <w:t>10</w:t>
            </w:r>
          </w:p>
        </w:tc>
        <w:tc>
          <w:tcPr>
            <w:tcW w:w="1611" w:type="pct"/>
            <w:shd w:val="clear" w:color="auto" w:fill="E2EFD9" w:themeFill="accent6" w:themeFillTint="33"/>
            <w:vAlign w:val="center"/>
          </w:tcPr>
          <w:p w14:paraId="25048E8B">
            <w:pPr>
              <w:widowControl/>
              <w:spacing w:line="300" w:lineRule="auto"/>
              <w:jc w:val="center"/>
              <w:textAlignment w:val="center"/>
              <w:rPr>
                <w:rFonts w:cs="Times New Roman"/>
                <w:sz w:val="20"/>
                <w:szCs w:val="20"/>
              </w:rPr>
            </w:pPr>
            <w:r>
              <w:rPr>
                <w:rFonts w:hint="eastAsia" w:cs="Times New Roman"/>
                <w:sz w:val="20"/>
                <w:szCs w:val="20"/>
              </w:rPr>
              <w:t>3.79%</w:t>
            </w:r>
          </w:p>
        </w:tc>
      </w:tr>
      <w:tr w14:paraId="25A7486C">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2052" w:type="pct"/>
            <w:shd w:val="clear" w:color="auto" w:fill="E2EFD9" w:themeFill="accent6" w:themeFillTint="33"/>
            <w:vAlign w:val="center"/>
          </w:tcPr>
          <w:p w14:paraId="328CBBFA">
            <w:pPr>
              <w:widowControl/>
              <w:spacing w:line="300" w:lineRule="auto"/>
              <w:jc w:val="center"/>
              <w:textAlignment w:val="center"/>
              <w:rPr>
                <w:rFonts w:cs="Times New Roman"/>
                <w:b w:val="0"/>
                <w:bCs w:val="0"/>
                <w:sz w:val="20"/>
                <w:szCs w:val="20"/>
              </w:rPr>
            </w:pPr>
            <w:r>
              <w:rPr>
                <w:rFonts w:hint="eastAsia" w:cs="Times New Roman"/>
                <w:b/>
                <w:bCs/>
                <w:sz w:val="20"/>
                <w:szCs w:val="20"/>
              </w:rPr>
              <w:t>医疗卫生单位</w:t>
            </w:r>
          </w:p>
        </w:tc>
        <w:tc>
          <w:tcPr>
            <w:tcW w:w="1335" w:type="pct"/>
            <w:shd w:val="clear" w:color="auto" w:fill="E2EFD9" w:themeFill="accent6" w:themeFillTint="33"/>
            <w:vAlign w:val="center"/>
          </w:tcPr>
          <w:p w14:paraId="2F204A94">
            <w:pPr>
              <w:widowControl/>
              <w:spacing w:line="300" w:lineRule="auto"/>
              <w:jc w:val="center"/>
              <w:textAlignment w:val="center"/>
              <w:rPr>
                <w:rFonts w:cs="Times New Roman"/>
                <w:sz w:val="20"/>
                <w:szCs w:val="20"/>
              </w:rPr>
            </w:pPr>
            <w:r>
              <w:rPr>
                <w:rFonts w:hint="eastAsia" w:cs="Times New Roman"/>
                <w:sz w:val="20"/>
                <w:szCs w:val="20"/>
              </w:rPr>
              <w:t>8</w:t>
            </w:r>
          </w:p>
        </w:tc>
        <w:tc>
          <w:tcPr>
            <w:tcW w:w="1611" w:type="pct"/>
            <w:shd w:val="clear" w:color="auto" w:fill="E2EFD9" w:themeFill="accent6" w:themeFillTint="33"/>
            <w:vAlign w:val="center"/>
          </w:tcPr>
          <w:p w14:paraId="7683FDDB">
            <w:pPr>
              <w:widowControl/>
              <w:spacing w:line="300" w:lineRule="auto"/>
              <w:jc w:val="center"/>
              <w:textAlignment w:val="center"/>
              <w:rPr>
                <w:rFonts w:cs="Times New Roman"/>
                <w:sz w:val="20"/>
                <w:szCs w:val="20"/>
              </w:rPr>
            </w:pPr>
            <w:r>
              <w:rPr>
                <w:rFonts w:hint="eastAsia" w:cs="Times New Roman"/>
                <w:sz w:val="20"/>
                <w:szCs w:val="20"/>
              </w:rPr>
              <w:t>3.03%</w:t>
            </w:r>
          </w:p>
        </w:tc>
      </w:tr>
      <w:tr w14:paraId="0E864A9B">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2052" w:type="pct"/>
            <w:shd w:val="clear" w:color="auto" w:fill="E2EFD9" w:themeFill="accent6" w:themeFillTint="33"/>
            <w:vAlign w:val="center"/>
          </w:tcPr>
          <w:p w14:paraId="658AB58A">
            <w:pPr>
              <w:widowControl/>
              <w:spacing w:line="300" w:lineRule="auto"/>
              <w:jc w:val="center"/>
              <w:textAlignment w:val="center"/>
              <w:rPr>
                <w:rFonts w:cs="Times New Roman"/>
                <w:b w:val="0"/>
                <w:bCs w:val="0"/>
                <w:sz w:val="20"/>
                <w:szCs w:val="20"/>
              </w:rPr>
            </w:pPr>
            <w:r>
              <w:rPr>
                <w:rFonts w:hint="eastAsia" w:cs="Times New Roman"/>
                <w:b/>
                <w:bCs/>
                <w:sz w:val="20"/>
                <w:szCs w:val="20"/>
              </w:rPr>
              <w:t>机关</w:t>
            </w:r>
          </w:p>
        </w:tc>
        <w:tc>
          <w:tcPr>
            <w:tcW w:w="1335" w:type="pct"/>
            <w:shd w:val="clear" w:color="auto" w:fill="E2EFD9" w:themeFill="accent6" w:themeFillTint="33"/>
            <w:vAlign w:val="center"/>
          </w:tcPr>
          <w:p w14:paraId="12555B98">
            <w:pPr>
              <w:widowControl/>
              <w:spacing w:line="300" w:lineRule="auto"/>
              <w:jc w:val="center"/>
              <w:textAlignment w:val="center"/>
              <w:rPr>
                <w:rFonts w:cs="Times New Roman"/>
                <w:sz w:val="20"/>
                <w:szCs w:val="20"/>
              </w:rPr>
            </w:pPr>
            <w:r>
              <w:rPr>
                <w:rFonts w:hint="eastAsia" w:cs="Times New Roman"/>
                <w:sz w:val="20"/>
                <w:szCs w:val="20"/>
              </w:rPr>
              <w:t>2</w:t>
            </w:r>
          </w:p>
        </w:tc>
        <w:tc>
          <w:tcPr>
            <w:tcW w:w="1611" w:type="pct"/>
            <w:shd w:val="clear" w:color="auto" w:fill="E2EFD9" w:themeFill="accent6" w:themeFillTint="33"/>
            <w:vAlign w:val="center"/>
          </w:tcPr>
          <w:p w14:paraId="63FD666A">
            <w:pPr>
              <w:widowControl/>
              <w:spacing w:line="300" w:lineRule="auto"/>
              <w:jc w:val="center"/>
              <w:textAlignment w:val="center"/>
              <w:rPr>
                <w:rFonts w:cs="Times New Roman"/>
                <w:sz w:val="20"/>
                <w:szCs w:val="20"/>
              </w:rPr>
            </w:pPr>
            <w:r>
              <w:rPr>
                <w:rFonts w:hint="eastAsia" w:cs="Times New Roman"/>
                <w:sz w:val="20"/>
                <w:szCs w:val="20"/>
              </w:rPr>
              <w:t>0.76%</w:t>
            </w:r>
          </w:p>
        </w:tc>
      </w:tr>
      <w:tr w14:paraId="7D5DFEBB">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2052" w:type="pct"/>
            <w:shd w:val="clear" w:color="auto" w:fill="E2EFD9" w:themeFill="accent6" w:themeFillTint="33"/>
            <w:vAlign w:val="center"/>
          </w:tcPr>
          <w:p w14:paraId="0C470D32">
            <w:pPr>
              <w:widowControl/>
              <w:spacing w:line="300" w:lineRule="auto"/>
              <w:jc w:val="center"/>
              <w:textAlignment w:val="center"/>
              <w:rPr>
                <w:rFonts w:cs="Times New Roman"/>
                <w:b w:val="0"/>
                <w:bCs w:val="0"/>
                <w:sz w:val="20"/>
                <w:szCs w:val="20"/>
              </w:rPr>
            </w:pPr>
            <w:r>
              <w:rPr>
                <w:rFonts w:hint="eastAsia" w:cs="Times New Roman"/>
                <w:b/>
                <w:bCs/>
                <w:sz w:val="20"/>
                <w:szCs w:val="20"/>
              </w:rPr>
              <w:t>外商投资企业</w:t>
            </w:r>
          </w:p>
        </w:tc>
        <w:tc>
          <w:tcPr>
            <w:tcW w:w="1335" w:type="pct"/>
            <w:shd w:val="clear" w:color="auto" w:fill="E2EFD9" w:themeFill="accent6" w:themeFillTint="33"/>
            <w:vAlign w:val="center"/>
          </w:tcPr>
          <w:p w14:paraId="0C828F2B">
            <w:pPr>
              <w:widowControl/>
              <w:spacing w:line="300" w:lineRule="auto"/>
              <w:jc w:val="center"/>
              <w:textAlignment w:val="center"/>
              <w:rPr>
                <w:rFonts w:cs="Times New Roman"/>
                <w:sz w:val="20"/>
                <w:szCs w:val="20"/>
              </w:rPr>
            </w:pPr>
            <w:r>
              <w:rPr>
                <w:rFonts w:hint="eastAsia" w:cs="Times New Roman"/>
                <w:sz w:val="20"/>
                <w:szCs w:val="20"/>
              </w:rPr>
              <w:t>1</w:t>
            </w:r>
          </w:p>
        </w:tc>
        <w:tc>
          <w:tcPr>
            <w:tcW w:w="1611" w:type="pct"/>
            <w:shd w:val="clear" w:color="auto" w:fill="E2EFD9" w:themeFill="accent6" w:themeFillTint="33"/>
            <w:vAlign w:val="center"/>
          </w:tcPr>
          <w:p w14:paraId="482D5EF8">
            <w:pPr>
              <w:widowControl/>
              <w:spacing w:line="300" w:lineRule="auto"/>
              <w:jc w:val="center"/>
              <w:textAlignment w:val="center"/>
              <w:rPr>
                <w:rFonts w:cs="Times New Roman"/>
                <w:sz w:val="20"/>
                <w:szCs w:val="20"/>
              </w:rPr>
            </w:pPr>
            <w:r>
              <w:rPr>
                <w:rFonts w:hint="eastAsia" w:cs="Times New Roman"/>
                <w:sz w:val="20"/>
                <w:szCs w:val="20"/>
              </w:rPr>
              <w:t>0.38%</w:t>
            </w:r>
          </w:p>
        </w:tc>
      </w:tr>
      <w:tr w14:paraId="76FB4301">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2052" w:type="pct"/>
            <w:shd w:val="clear" w:color="auto" w:fill="E2EFD9" w:themeFill="accent6" w:themeFillTint="33"/>
            <w:vAlign w:val="center"/>
          </w:tcPr>
          <w:p w14:paraId="0895C1BF">
            <w:pPr>
              <w:widowControl/>
              <w:spacing w:line="300" w:lineRule="auto"/>
              <w:jc w:val="center"/>
              <w:textAlignment w:val="center"/>
              <w:rPr>
                <w:rFonts w:cs="Times New Roman"/>
                <w:b w:val="0"/>
                <w:bCs w:val="0"/>
                <w:sz w:val="20"/>
                <w:szCs w:val="20"/>
              </w:rPr>
            </w:pPr>
            <w:r>
              <w:rPr>
                <w:rFonts w:hint="eastAsia" w:cs="Times New Roman"/>
                <w:b/>
                <w:bCs/>
                <w:sz w:val="20"/>
                <w:szCs w:val="20"/>
              </w:rPr>
              <w:t>合计</w:t>
            </w:r>
          </w:p>
        </w:tc>
        <w:tc>
          <w:tcPr>
            <w:tcW w:w="1335" w:type="pct"/>
            <w:shd w:val="clear" w:color="auto" w:fill="E2EFD9" w:themeFill="accent6" w:themeFillTint="33"/>
            <w:vAlign w:val="center"/>
          </w:tcPr>
          <w:p w14:paraId="39246077">
            <w:pPr>
              <w:widowControl/>
              <w:spacing w:line="300" w:lineRule="auto"/>
              <w:jc w:val="center"/>
              <w:textAlignment w:val="center"/>
              <w:rPr>
                <w:rFonts w:cs="Times New Roman"/>
                <w:sz w:val="20"/>
                <w:szCs w:val="20"/>
              </w:rPr>
            </w:pPr>
            <w:r>
              <w:rPr>
                <w:rFonts w:hint="eastAsia" w:cs="Times New Roman"/>
                <w:sz w:val="20"/>
                <w:szCs w:val="20"/>
              </w:rPr>
              <w:t>264</w:t>
            </w:r>
          </w:p>
        </w:tc>
        <w:tc>
          <w:tcPr>
            <w:tcW w:w="1611" w:type="pct"/>
            <w:shd w:val="clear" w:color="auto" w:fill="E2EFD9" w:themeFill="accent6" w:themeFillTint="33"/>
            <w:vAlign w:val="center"/>
          </w:tcPr>
          <w:p w14:paraId="17ED252C">
            <w:pPr>
              <w:widowControl/>
              <w:spacing w:line="300" w:lineRule="auto"/>
              <w:jc w:val="center"/>
              <w:textAlignment w:val="center"/>
              <w:rPr>
                <w:rFonts w:cs="Times New Roman"/>
                <w:sz w:val="20"/>
                <w:szCs w:val="20"/>
              </w:rPr>
            </w:pPr>
            <w:r>
              <w:rPr>
                <w:rFonts w:hint="eastAsia" w:cs="Times New Roman"/>
                <w:sz w:val="20"/>
                <w:szCs w:val="20"/>
              </w:rPr>
              <w:t>100%</w:t>
            </w:r>
          </w:p>
        </w:tc>
      </w:tr>
    </w:tbl>
    <w:p w14:paraId="5843009E">
      <w:pPr>
        <w:pStyle w:val="3"/>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毕业生就业职位类型分布 </w:t>
      </w:r>
    </w:p>
    <w:p w14:paraId="1690821C">
      <w:pPr>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我院</w:t>
      </w:r>
      <w:r>
        <w:rPr>
          <w:rFonts w:hint="eastAsia" w:ascii="仿宋" w:hAnsi="仿宋" w:eastAsia="仿宋" w:cs="仿宋"/>
          <w:sz w:val="32"/>
          <w:szCs w:val="32"/>
        </w:rPr>
        <w:t>2024届毕业生所从事的职业类型主要为“其他人员”，占比为31.44%；其次为“商业和服务业人员”，占比为22.73%。</w:t>
      </w:r>
    </w:p>
    <w:tbl>
      <w:tblPr>
        <w:tblStyle w:val="27"/>
        <w:tblW w:w="5000" w:type="pct"/>
        <w:tblInd w:w="0" w:type="dxa"/>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Layout w:type="autofit"/>
        <w:tblCellMar>
          <w:top w:w="0" w:type="dxa"/>
          <w:left w:w="108" w:type="dxa"/>
          <w:bottom w:w="0" w:type="dxa"/>
          <w:right w:w="108" w:type="dxa"/>
        </w:tblCellMar>
      </w:tblPr>
      <w:tblGrid>
        <w:gridCol w:w="3499"/>
        <w:gridCol w:w="2276"/>
        <w:gridCol w:w="2747"/>
      </w:tblGrid>
      <w:tr w14:paraId="136029E4">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2052" w:type="pct"/>
            <w:tcBorders>
              <w:top w:val="single" w:color="70AD47" w:themeColor="accent6" w:sz="4" w:space="0"/>
              <w:left w:val="single" w:color="70AD47" w:themeColor="accent6" w:sz="4" w:space="0"/>
              <w:bottom w:val="single" w:color="70AD47" w:themeColor="accent6" w:sz="4" w:space="0"/>
              <w:right w:val="nil"/>
              <w:insideH w:val="single" w:sz="4" w:space="0"/>
              <w:insideV w:val="nil"/>
            </w:tcBorders>
            <w:shd w:val="clear" w:color="auto" w:fill="70AD47" w:themeFill="accent6"/>
            <w:vAlign w:val="center"/>
          </w:tcPr>
          <w:p w14:paraId="1612AF89">
            <w:pPr>
              <w:spacing w:line="300" w:lineRule="auto"/>
              <w:jc w:val="center"/>
              <w:rPr>
                <w:rFonts w:ascii="宋体" w:hAnsi="宋体" w:cs="宋体"/>
                <w:b w:val="0"/>
                <w:bCs w:val="0"/>
                <w:color w:val="FFFFFF" w:themeColor="background1"/>
                <w:sz w:val="20"/>
                <w:szCs w:val="20"/>
                <w14:textFill>
                  <w14:solidFill>
                    <w14:schemeClr w14:val="bg1"/>
                  </w14:solidFill>
                </w14:textFill>
              </w:rPr>
            </w:pPr>
            <w:r>
              <w:rPr>
                <w:rFonts w:hint="eastAsia" w:ascii="宋体" w:hAnsi="宋体" w:cs="宋体"/>
                <w:b/>
                <w:bCs/>
                <w:color w:val="auto"/>
                <w:sz w:val="20"/>
                <w:szCs w:val="20"/>
              </w:rPr>
              <w:t>职业类型</w:t>
            </w:r>
          </w:p>
        </w:tc>
        <w:tc>
          <w:tcPr>
            <w:tcW w:w="1335" w:type="pct"/>
            <w:tcBorders>
              <w:top w:val="single" w:color="70AD47" w:themeColor="accent6" w:sz="4" w:space="0"/>
              <w:bottom w:val="single" w:color="70AD47" w:themeColor="accent6" w:sz="4" w:space="0"/>
              <w:right w:val="nil"/>
              <w:insideH w:val="single" w:sz="4" w:space="0"/>
              <w:insideV w:val="nil"/>
            </w:tcBorders>
            <w:shd w:val="clear" w:color="auto" w:fill="70AD47" w:themeFill="accent6"/>
            <w:vAlign w:val="center"/>
          </w:tcPr>
          <w:p w14:paraId="28F903CF">
            <w:pPr>
              <w:spacing w:line="300" w:lineRule="auto"/>
              <w:jc w:val="center"/>
              <w:rPr>
                <w:rFonts w:ascii="宋体" w:hAnsi="宋体" w:cs="宋体"/>
                <w:b w:val="0"/>
                <w:bCs w:val="0"/>
                <w:color w:val="FFFFFF" w:themeColor="background1"/>
                <w:sz w:val="20"/>
                <w:szCs w:val="20"/>
                <w14:textFill>
                  <w14:solidFill>
                    <w14:schemeClr w14:val="bg1"/>
                  </w14:solidFill>
                </w14:textFill>
              </w:rPr>
            </w:pPr>
            <w:r>
              <w:rPr>
                <w:rFonts w:hint="eastAsia" w:ascii="宋体" w:hAnsi="宋体" w:cs="宋体"/>
                <w:b/>
                <w:bCs/>
                <w:color w:val="auto"/>
                <w:sz w:val="20"/>
                <w:szCs w:val="20"/>
              </w:rPr>
              <w:t>就业人数</w:t>
            </w:r>
          </w:p>
        </w:tc>
        <w:tc>
          <w:tcPr>
            <w:tcW w:w="1611" w:type="pct"/>
            <w:tcBorders>
              <w:top w:val="single" w:color="70AD47" w:themeColor="accent6" w:sz="4" w:space="0"/>
              <w:bottom w:val="single" w:color="70AD47" w:themeColor="accent6" w:sz="4" w:space="0"/>
              <w:right w:val="single" w:color="70AD47" w:themeColor="accent6" w:sz="4" w:space="0"/>
              <w:insideH w:val="single" w:sz="4" w:space="0"/>
              <w:insideV w:val="nil"/>
            </w:tcBorders>
            <w:shd w:val="clear" w:color="auto" w:fill="70AD47" w:themeFill="accent6"/>
            <w:vAlign w:val="center"/>
          </w:tcPr>
          <w:p w14:paraId="66132951">
            <w:pPr>
              <w:spacing w:line="300" w:lineRule="auto"/>
              <w:jc w:val="center"/>
              <w:rPr>
                <w:rFonts w:ascii="宋体" w:hAnsi="宋体" w:cs="宋体"/>
                <w:b w:val="0"/>
                <w:bCs w:val="0"/>
                <w:color w:val="FFFFFF" w:themeColor="background1"/>
                <w:sz w:val="20"/>
                <w:szCs w:val="20"/>
                <w14:textFill>
                  <w14:solidFill>
                    <w14:schemeClr w14:val="bg1"/>
                  </w14:solidFill>
                </w14:textFill>
              </w:rPr>
            </w:pPr>
            <w:r>
              <w:rPr>
                <w:rFonts w:hint="eastAsia" w:ascii="宋体" w:hAnsi="宋体" w:cs="宋体"/>
                <w:b/>
                <w:bCs/>
                <w:color w:val="auto"/>
                <w:sz w:val="20"/>
                <w:szCs w:val="20"/>
              </w:rPr>
              <w:t>占比</w:t>
            </w:r>
          </w:p>
        </w:tc>
      </w:tr>
      <w:tr w14:paraId="1C476EFE">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2052" w:type="pct"/>
            <w:shd w:val="clear" w:color="auto" w:fill="E2EFD9" w:themeFill="accent6" w:themeFillTint="33"/>
            <w:vAlign w:val="center"/>
          </w:tcPr>
          <w:p w14:paraId="1ECFBFBF">
            <w:pPr>
              <w:widowControl/>
              <w:spacing w:line="300" w:lineRule="auto"/>
              <w:jc w:val="center"/>
              <w:textAlignment w:val="center"/>
              <w:rPr>
                <w:rFonts w:cs="Times New Roman"/>
                <w:b w:val="0"/>
                <w:bCs w:val="0"/>
                <w:sz w:val="20"/>
                <w:szCs w:val="20"/>
              </w:rPr>
            </w:pPr>
            <w:r>
              <w:rPr>
                <w:rFonts w:hint="eastAsia" w:cs="Times New Roman"/>
                <w:b/>
                <w:bCs/>
                <w:sz w:val="20"/>
                <w:szCs w:val="20"/>
              </w:rPr>
              <w:t>其他人员</w:t>
            </w:r>
          </w:p>
        </w:tc>
        <w:tc>
          <w:tcPr>
            <w:tcW w:w="1335" w:type="pct"/>
            <w:shd w:val="clear" w:color="auto" w:fill="E2EFD9" w:themeFill="accent6" w:themeFillTint="33"/>
            <w:vAlign w:val="center"/>
          </w:tcPr>
          <w:p w14:paraId="0F5BC177">
            <w:pPr>
              <w:widowControl/>
              <w:spacing w:line="300" w:lineRule="auto"/>
              <w:jc w:val="center"/>
              <w:textAlignment w:val="center"/>
              <w:rPr>
                <w:rFonts w:cs="Times New Roman"/>
                <w:sz w:val="20"/>
                <w:szCs w:val="20"/>
              </w:rPr>
            </w:pPr>
            <w:r>
              <w:rPr>
                <w:rFonts w:hint="eastAsia" w:cs="Times New Roman"/>
                <w:sz w:val="20"/>
                <w:szCs w:val="20"/>
              </w:rPr>
              <w:t>83</w:t>
            </w:r>
          </w:p>
        </w:tc>
        <w:tc>
          <w:tcPr>
            <w:tcW w:w="1611" w:type="pct"/>
            <w:shd w:val="clear" w:color="auto" w:fill="E2EFD9" w:themeFill="accent6" w:themeFillTint="33"/>
            <w:vAlign w:val="center"/>
          </w:tcPr>
          <w:p w14:paraId="641D2CF7">
            <w:pPr>
              <w:widowControl/>
              <w:spacing w:line="300" w:lineRule="auto"/>
              <w:jc w:val="center"/>
              <w:textAlignment w:val="center"/>
              <w:rPr>
                <w:rFonts w:cs="Times New Roman"/>
                <w:sz w:val="20"/>
                <w:szCs w:val="20"/>
              </w:rPr>
            </w:pPr>
            <w:r>
              <w:rPr>
                <w:rFonts w:hint="eastAsia" w:cs="Times New Roman"/>
                <w:sz w:val="20"/>
                <w:szCs w:val="20"/>
              </w:rPr>
              <w:t>31.44%</w:t>
            </w:r>
          </w:p>
        </w:tc>
      </w:tr>
      <w:tr w14:paraId="3CA607E6">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2052" w:type="pct"/>
            <w:shd w:val="clear" w:color="auto" w:fill="E2EFD9" w:themeFill="accent6" w:themeFillTint="33"/>
            <w:vAlign w:val="center"/>
          </w:tcPr>
          <w:p w14:paraId="45230628">
            <w:pPr>
              <w:widowControl/>
              <w:spacing w:line="300" w:lineRule="auto"/>
              <w:jc w:val="center"/>
              <w:textAlignment w:val="center"/>
              <w:rPr>
                <w:rFonts w:cs="Times New Roman"/>
                <w:b w:val="0"/>
                <w:bCs w:val="0"/>
                <w:sz w:val="20"/>
                <w:szCs w:val="20"/>
              </w:rPr>
            </w:pPr>
            <w:r>
              <w:rPr>
                <w:rFonts w:hint="eastAsia" w:cs="Times New Roman"/>
                <w:b/>
                <w:bCs/>
                <w:sz w:val="20"/>
                <w:szCs w:val="20"/>
              </w:rPr>
              <w:t>商业和服务业人员</w:t>
            </w:r>
          </w:p>
        </w:tc>
        <w:tc>
          <w:tcPr>
            <w:tcW w:w="1335" w:type="pct"/>
            <w:shd w:val="clear" w:color="auto" w:fill="E2EFD9" w:themeFill="accent6" w:themeFillTint="33"/>
            <w:vAlign w:val="center"/>
          </w:tcPr>
          <w:p w14:paraId="055151FB">
            <w:pPr>
              <w:widowControl/>
              <w:spacing w:line="300" w:lineRule="auto"/>
              <w:jc w:val="center"/>
              <w:textAlignment w:val="center"/>
              <w:rPr>
                <w:rFonts w:cs="Times New Roman"/>
                <w:sz w:val="20"/>
                <w:szCs w:val="20"/>
              </w:rPr>
            </w:pPr>
            <w:r>
              <w:rPr>
                <w:rFonts w:hint="eastAsia" w:cs="Times New Roman"/>
                <w:sz w:val="20"/>
                <w:szCs w:val="20"/>
              </w:rPr>
              <w:t>60</w:t>
            </w:r>
          </w:p>
        </w:tc>
        <w:tc>
          <w:tcPr>
            <w:tcW w:w="1611" w:type="pct"/>
            <w:shd w:val="clear" w:color="auto" w:fill="E2EFD9" w:themeFill="accent6" w:themeFillTint="33"/>
            <w:vAlign w:val="center"/>
          </w:tcPr>
          <w:p w14:paraId="42B06E39">
            <w:pPr>
              <w:widowControl/>
              <w:spacing w:line="300" w:lineRule="auto"/>
              <w:jc w:val="center"/>
              <w:textAlignment w:val="center"/>
              <w:rPr>
                <w:rFonts w:cs="Times New Roman"/>
                <w:sz w:val="20"/>
                <w:szCs w:val="20"/>
              </w:rPr>
            </w:pPr>
            <w:r>
              <w:rPr>
                <w:rFonts w:hint="eastAsia" w:cs="Times New Roman"/>
                <w:sz w:val="20"/>
                <w:szCs w:val="20"/>
              </w:rPr>
              <w:t>22.73%</w:t>
            </w:r>
          </w:p>
        </w:tc>
      </w:tr>
      <w:tr w14:paraId="1E33BD6D">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2052" w:type="pct"/>
            <w:shd w:val="clear" w:color="auto" w:fill="E2EFD9" w:themeFill="accent6" w:themeFillTint="33"/>
            <w:vAlign w:val="center"/>
          </w:tcPr>
          <w:p w14:paraId="0FBD2398">
            <w:pPr>
              <w:widowControl/>
              <w:spacing w:line="300" w:lineRule="auto"/>
              <w:jc w:val="center"/>
              <w:textAlignment w:val="center"/>
              <w:rPr>
                <w:rFonts w:cs="Times New Roman"/>
                <w:b w:val="0"/>
                <w:bCs w:val="0"/>
                <w:sz w:val="20"/>
                <w:szCs w:val="20"/>
              </w:rPr>
            </w:pPr>
            <w:r>
              <w:rPr>
                <w:rFonts w:hint="eastAsia" w:cs="Times New Roman"/>
                <w:b/>
                <w:bCs/>
                <w:sz w:val="20"/>
                <w:szCs w:val="20"/>
              </w:rPr>
              <w:t>教学人员</w:t>
            </w:r>
          </w:p>
        </w:tc>
        <w:tc>
          <w:tcPr>
            <w:tcW w:w="1335" w:type="pct"/>
            <w:shd w:val="clear" w:color="auto" w:fill="E2EFD9" w:themeFill="accent6" w:themeFillTint="33"/>
            <w:vAlign w:val="center"/>
          </w:tcPr>
          <w:p w14:paraId="705CF334">
            <w:pPr>
              <w:widowControl/>
              <w:spacing w:line="300" w:lineRule="auto"/>
              <w:jc w:val="center"/>
              <w:textAlignment w:val="center"/>
              <w:rPr>
                <w:rFonts w:cs="Times New Roman"/>
                <w:sz w:val="20"/>
                <w:szCs w:val="20"/>
              </w:rPr>
            </w:pPr>
            <w:r>
              <w:rPr>
                <w:rFonts w:hint="eastAsia" w:cs="Times New Roman"/>
                <w:sz w:val="20"/>
                <w:szCs w:val="20"/>
              </w:rPr>
              <w:t>56</w:t>
            </w:r>
          </w:p>
        </w:tc>
        <w:tc>
          <w:tcPr>
            <w:tcW w:w="1611" w:type="pct"/>
            <w:shd w:val="clear" w:color="auto" w:fill="E2EFD9" w:themeFill="accent6" w:themeFillTint="33"/>
            <w:vAlign w:val="center"/>
          </w:tcPr>
          <w:p w14:paraId="2DF100A8">
            <w:pPr>
              <w:widowControl/>
              <w:spacing w:line="300" w:lineRule="auto"/>
              <w:jc w:val="center"/>
              <w:textAlignment w:val="center"/>
              <w:rPr>
                <w:rFonts w:cs="Times New Roman"/>
                <w:sz w:val="20"/>
                <w:szCs w:val="20"/>
              </w:rPr>
            </w:pPr>
            <w:r>
              <w:rPr>
                <w:rFonts w:hint="eastAsia" w:cs="Times New Roman"/>
                <w:sz w:val="20"/>
                <w:szCs w:val="20"/>
              </w:rPr>
              <w:t>21.21%</w:t>
            </w:r>
          </w:p>
        </w:tc>
      </w:tr>
      <w:tr w14:paraId="7C71003B">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2052" w:type="pct"/>
            <w:shd w:val="clear" w:color="auto" w:fill="E2EFD9" w:themeFill="accent6" w:themeFillTint="33"/>
            <w:vAlign w:val="center"/>
          </w:tcPr>
          <w:p w14:paraId="33447F4E">
            <w:pPr>
              <w:widowControl/>
              <w:spacing w:line="300" w:lineRule="auto"/>
              <w:jc w:val="center"/>
              <w:textAlignment w:val="center"/>
              <w:rPr>
                <w:rFonts w:cs="Times New Roman"/>
                <w:b w:val="0"/>
                <w:bCs w:val="0"/>
                <w:sz w:val="20"/>
                <w:szCs w:val="20"/>
              </w:rPr>
            </w:pPr>
            <w:r>
              <w:rPr>
                <w:rFonts w:hint="eastAsia" w:cs="Times New Roman"/>
                <w:b/>
                <w:bCs/>
                <w:sz w:val="20"/>
                <w:szCs w:val="20"/>
              </w:rPr>
              <w:t>卫生专业技术人员</w:t>
            </w:r>
          </w:p>
        </w:tc>
        <w:tc>
          <w:tcPr>
            <w:tcW w:w="1335" w:type="pct"/>
            <w:shd w:val="clear" w:color="auto" w:fill="E2EFD9" w:themeFill="accent6" w:themeFillTint="33"/>
            <w:vAlign w:val="center"/>
          </w:tcPr>
          <w:p w14:paraId="2B355705">
            <w:pPr>
              <w:widowControl/>
              <w:spacing w:line="300" w:lineRule="auto"/>
              <w:jc w:val="center"/>
              <w:textAlignment w:val="center"/>
              <w:rPr>
                <w:rFonts w:cs="Times New Roman"/>
                <w:sz w:val="20"/>
                <w:szCs w:val="20"/>
              </w:rPr>
            </w:pPr>
            <w:r>
              <w:rPr>
                <w:rFonts w:hint="eastAsia" w:cs="Times New Roman"/>
                <w:sz w:val="20"/>
                <w:szCs w:val="20"/>
              </w:rPr>
              <w:t>23</w:t>
            </w:r>
          </w:p>
        </w:tc>
        <w:tc>
          <w:tcPr>
            <w:tcW w:w="1611" w:type="pct"/>
            <w:shd w:val="clear" w:color="auto" w:fill="E2EFD9" w:themeFill="accent6" w:themeFillTint="33"/>
            <w:vAlign w:val="center"/>
          </w:tcPr>
          <w:p w14:paraId="693322A6">
            <w:pPr>
              <w:widowControl/>
              <w:spacing w:line="300" w:lineRule="auto"/>
              <w:jc w:val="center"/>
              <w:textAlignment w:val="center"/>
              <w:rPr>
                <w:rFonts w:cs="Times New Roman"/>
                <w:sz w:val="20"/>
                <w:szCs w:val="20"/>
              </w:rPr>
            </w:pPr>
            <w:r>
              <w:rPr>
                <w:rFonts w:hint="eastAsia" w:cs="Times New Roman"/>
                <w:sz w:val="20"/>
                <w:szCs w:val="20"/>
              </w:rPr>
              <w:t>8.71%</w:t>
            </w:r>
          </w:p>
        </w:tc>
      </w:tr>
      <w:tr w14:paraId="2A247862">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2052" w:type="pct"/>
            <w:shd w:val="clear" w:color="auto" w:fill="E2EFD9" w:themeFill="accent6" w:themeFillTint="33"/>
            <w:vAlign w:val="center"/>
          </w:tcPr>
          <w:p w14:paraId="3F2D9E3D">
            <w:pPr>
              <w:widowControl/>
              <w:spacing w:line="300" w:lineRule="auto"/>
              <w:jc w:val="center"/>
              <w:textAlignment w:val="center"/>
              <w:rPr>
                <w:rFonts w:cs="Times New Roman"/>
                <w:b w:val="0"/>
                <w:bCs w:val="0"/>
                <w:sz w:val="20"/>
                <w:szCs w:val="20"/>
              </w:rPr>
            </w:pPr>
            <w:r>
              <w:rPr>
                <w:rFonts w:hint="eastAsia" w:cs="Times New Roman"/>
                <w:b/>
                <w:bCs/>
                <w:sz w:val="20"/>
                <w:szCs w:val="20"/>
              </w:rPr>
              <w:t>生产和运输设备操作人员</w:t>
            </w:r>
          </w:p>
        </w:tc>
        <w:tc>
          <w:tcPr>
            <w:tcW w:w="1335" w:type="pct"/>
            <w:shd w:val="clear" w:color="auto" w:fill="E2EFD9" w:themeFill="accent6" w:themeFillTint="33"/>
            <w:vAlign w:val="center"/>
          </w:tcPr>
          <w:p w14:paraId="002BD3DA">
            <w:pPr>
              <w:widowControl/>
              <w:spacing w:line="300" w:lineRule="auto"/>
              <w:jc w:val="center"/>
              <w:textAlignment w:val="center"/>
              <w:rPr>
                <w:rFonts w:cs="Times New Roman"/>
                <w:sz w:val="20"/>
                <w:szCs w:val="20"/>
              </w:rPr>
            </w:pPr>
            <w:r>
              <w:rPr>
                <w:rFonts w:hint="eastAsia" w:cs="Times New Roman"/>
                <w:sz w:val="20"/>
                <w:szCs w:val="20"/>
              </w:rPr>
              <w:t>11</w:t>
            </w:r>
          </w:p>
        </w:tc>
        <w:tc>
          <w:tcPr>
            <w:tcW w:w="1611" w:type="pct"/>
            <w:shd w:val="clear" w:color="auto" w:fill="E2EFD9" w:themeFill="accent6" w:themeFillTint="33"/>
            <w:vAlign w:val="center"/>
          </w:tcPr>
          <w:p w14:paraId="21C7AEB2">
            <w:pPr>
              <w:widowControl/>
              <w:spacing w:line="300" w:lineRule="auto"/>
              <w:jc w:val="center"/>
              <w:textAlignment w:val="center"/>
              <w:rPr>
                <w:rFonts w:cs="Times New Roman"/>
                <w:sz w:val="20"/>
                <w:szCs w:val="20"/>
              </w:rPr>
            </w:pPr>
            <w:r>
              <w:rPr>
                <w:rFonts w:hint="eastAsia" w:cs="Times New Roman"/>
                <w:sz w:val="20"/>
                <w:szCs w:val="20"/>
              </w:rPr>
              <w:t>4.17%</w:t>
            </w:r>
          </w:p>
        </w:tc>
      </w:tr>
      <w:tr w14:paraId="5EF60FCA">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2052" w:type="pct"/>
            <w:shd w:val="clear" w:color="auto" w:fill="E2EFD9" w:themeFill="accent6" w:themeFillTint="33"/>
            <w:vAlign w:val="center"/>
          </w:tcPr>
          <w:p w14:paraId="39367585">
            <w:pPr>
              <w:widowControl/>
              <w:spacing w:line="300" w:lineRule="auto"/>
              <w:jc w:val="center"/>
              <w:textAlignment w:val="center"/>
              <w:rPr>
                <w:rFonts w:cs="Times New Roman"/>
                <w:b w:val="0"/>
                <w:bCs w:val="0"/>
                <w:sz w:val="20"/>
                <w:szCs w:val="20"/>
              </w:rPr>
            </w:pPr>
            <w:r>
              <w:rPr>
                <w:rFonts w:hint="eastAsia" w:cs="Times New Roman"/>
                <w:b/>
                <w:bCs/>
                <w:sz w:val="20"/>
                <w:szCs w:val="20"/>
              </w:rPr>
              <w:t>其他专业技术人员</w:t>
            </w:r>
          </w:p>
        </w:tc>
        <w:tc>
          <w:tcPr>
            <w:tcW w:w="1335" w:type="pct"/>
            <w:shd w:val="clear" w:color="auto" w:fill="E2EFD9" w:themeFill="accent6" w:themeFillTint="33"/>
            <w:vAlign w:val="center"/>
          </w:tcPr>
          <w:p w14:paraId="359DC883">
            <w:pPr>
              <w:widowControl/>
              <w:spacing w:line="300" w:lineRule="auto"/>
              <w:jc w:val="center"/>
              <w:textAlignment w:val="center"/>
              <w:rPr>
                <w:rFonts w:cs="Times New Roman"/>
                <w:sz w:val="20"/>
                <w:szCs w:val="20"/>
              </w:rPr>
            </w:pPr>
            <w:r>
              <w:rPr>
                <w:rFonts w:hint="eastAsia" w:cs="Times New Roman"/>
                <w:sz w:val="20"/>
                <w:szCs w:val="20"/>
              </w:rPr>
              <w:t>10</w:t>
            </w:r>
          </w:p>
        </w:tc>
        <w:tc>
          <w:tcPr>
            <w:tcW w:w="1611" w:type="pct"/>
            <w:shd w:val="clear" w:color="auto" w:fill="E2EFD9" w:themeFill="accent6" w:themeFillTint="33"/>
            <w:vAlign w:val="center"/>
          </w:tcPr>
          <w:p w14:paraId="431C9AA4">
            <w:pPr>
              <w:widowControl/>
              <w:spacing w:line="300" w:lineRule="auto"/>
              <w:jc w:val="center"/>
              <w:textAlignment w:val="center"/>
              <w:rPr>
                <w:rFonts w:cs="Times New Roman"/>
                <w:sz w:val="20"/>
                <w:szCs w:val="20"/>
              </w:rPr>
            </w:pPr>
            <w:r>
              <w:rPr>
                <w:rFonts w:hint="eastAsia" w:cs="Times New Roman"/>
                <w:sz w:val="20"/>
                <w:szCs w:val="20"/>
              </w:rPr>
              <w:t>3.79%</w:t>
            </w:r>
          </w:p>
        </w:tc>
      </w:tr>
      <w:tr w14:paraId="02DFF542">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2052" w:type="pct"/>
            <w:shd w:val="clear" w:color="auto" w:fill="E2EFD9" w:themeFill="accent6" w:themeFillTint="33"/>
            <w:vAlign w:val="center"/>
          </w:tcPr>
          <w:p w14:paraId="01FF96ED">
            <w:pPr>
              <w:widowControl/>
              <w:spacing w:line="300" w:lineRule="auto"/>
              <w:jc w:val="center"/>
              <w:textAlignment w:val="center"/>
              <w:rPr>
                <w:rFonts w:cs="Times New Roman"/>
                <w:b w:val="0"/>
                <w:bCs w:val="0"/>
                <w:sz w:val="20"/>
                <w:szCs w:val="20"/>
              </w:rPr>
            </w:pPr>
            <w:r>
              <w:rPr>
                <w:rFonts w:hint="eastAsia" w:cs="Times New Roman"/>
                <w:b/>
                <w:bCs/>
                <w:sz w:val="20"/>
                <w:szCs w:val="20"/>
              </w:rPr>
              <w:t>文学艺术工作人员</w:t>
            </w:r>
          </w:p>
        </w:tc>
        <w:tc>
          <w:tcPr>
            <w:tcW w:w="1335" w:type="pct"/>
            <w:shd w:val="clear" w:color="auto" w:fill="E2EFD9" w:themeFill="accent6" w:themeFillTint="33"/>
            <w:vAlign w:val="center"/>
          </w:tcPr>
          <w:p w14:paraId="7645AD79">
            <w:pPr>
              <w:widowControl/>
              <w:spacing w:line="300" w:lineRule="auto"/>
              <w:jc w:val="center"/>
              <w:textAlignment w:val="center"/>
              <w:rPr>
                <w:rFonts w:cs="Times New Roman"/>
                <w:sz w:val="20"/>
                <w:szCs w:val="20"/>
              </w:rPr>
            </w:pPr>
            <w:r>
              <w:rPr>
                <w:rFonts w:hint="eastAsia" w:cs="Times New Roman"/>
                <w:sz w:val="20"/>
                <w:szCs w:val="20"/>
              </w:rPr>
              <w:t>6</w:t>
            </w:r>
          </w:p>
        </w:tc>
        <w:tc>
          <w:tcPr>
            <w:tcW w:w="1611" w:type="pct"/>
            <w:shd w:val="clear" w:color="auto" w:fill="E2EFD9" w:themeFill="accent6" w:themeFillTint="33"/>
            <w:vAlign w:val="center"/>
          </w:tcPr>
          <w:p w14:paraId="046B9B95">
            <w:pPr>
              <w:widowControl/>
              <w:spacing w:line="300" w:lineRule="auto"/>
              <w:jc w:val="center"/>
              <w:textAlignment w:val="center"/>
              <w:rPr>
                <w:rFonts w:cs="Times New Roman"/>
                <w:sz w:val="20"/>
                <w:szCs w:val="20"/>
              </w:rPr>
            </w:pPr>
            <w:r>
              <w:rPr>
                <w:rFonts w:hint="eastAsia" w:cs="Times New Roman"/>
                <w:sz w:val="20"/>
                <w:szCs w:val="20"/>
              </w:rPr>
              <w:t>2.27%</w:t>
            </w:r>
          </w:p>
        </w:tc>
      </w:tr>
      <w:tr w14:paraId="309DB429">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2052" w:type="pct"/>
            <w:shd w:val="clear" w:color="auto" w:fill="E2EFD9" w:themeFill="accent6" w:themeFillTint="33"/>
            <w:vAlign w:val="center"/>
          </w:tcPr>
          <w:p w14:paraId="33B02EF2">
            <w:pPr>
              <w:widowControl/>
              <w:spacing w:line="300" w:lineRule="auto"/>
              <w:jc w:val="center"/>
              <w:textAlignment w:val="center"/>
              <w:rPr>
                <w:rFonts w:cs="Times New Roman"/>
                <w:b w:val="0"/>
                <w:bCs w:val="0"/>
                <w:sz w:val="20"/>
                <w:szCs w:val="20"/>
              </w:rPr>
            </w:pPr>
            <w:r>
              <w:rPr>
                <w:rFonts w:hint="eastAsia" w:cs="Times New Roman"/>
                <w:b/>
                <w:bCs/>
                <w:sz w:val="20"/>
                <w:szCs w:val="20"/>
              </w:rPr>
              <w:t>工程技术人员</w:t>
            </w:r>
          </w:p>
        </w:tc>
        <w:tc>
          <w:tcPr>
            <w:tcW w:w="1335" w:type="pct"/>
            <w:shd w:val="clear" w:color="auto" w:fill="E2EFD9" w:themeFill="accent6" w:themeFillTint="33"/>
            <w:vAlign w:val="center"/>
          </w:tcPr>
          <w:p w14:paraId="50C2356B">
            <w:pPr>
              <w:widowControl/>
              <w:spacing w:line="300" w:lineRule="auto"/>
              <w:jc w:val="center"/>
              <w:textAlignment w:val="center"/>
              <w:rPr>
                <w:rFonts w:cs="Times New Roman"/>
                <w:sz w:val="20"/>
                <w:szCs w:val="20"/>
              </w:rPr>
            </w:pPr>
            <w:r>
              <w:rPr>
                <w:rFonts w:hint="eastAsia" w:cs="Times New Roman"/>
                <w:sz w:val="20"/>
                <w:szCs w:val="20"/>
              </w:rPr>
              <w:t>6</w:t>
            </w:r>
          </w:p>
        </w:tc>
        <w:tc>
          <w:tcPr>
            <w:tcW w:w="1611" w:type="pct"/>
            <w:shd w:val="clear" w:color="auto" w:fill="E2EFD9" w:themeFill="accent6" w:themeFillTint="33"/>
            <w:vAlign w:val="center"/>
          </w:tcPr>
          <w:p w14:paraId="4FC05E98">
            <w:pPr>
              <w:widowControl/>
              <w:spacing w:line="300" w:lineRule="auto"/>
              <w:jc w:val="center"/>
              <w:textAlignment w:val="center"/>
              <w:rPr>
                <w:rFonts w:cs="Times New Roman"/>
                <w:sz w:val="20"/>
                <w:szCs w:val="20"/>
              </w:rPr>
            </w:pPr>
            <w:r>
              <w:rPr>
                <w:rFonts w:hint="eastAsia" w:cs="Times New Roman"/>
                <w:sz w:val="20"/>
                <w:szCs w:val="20"/>
              </w:rPr>
              <w:t>2.27%</w:t>
            </w:r>
          </w:p>
        </w:tc>
      </w:tr>
      <w:tr w14:paraId="5FA167ED">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2052" w:type="pct"/>
            <w:shd w:val="clear" w:color="auto" w:fill="E2EFD9" w:themeFill="accent6" w:themeFillTint="33"/>
            <w:vAlign w:val="center"/>
          </w:tcPr>
          <w:p w14:paraId="557AABDB">
            <w:pPr>
              <w:widowControl/>
              <w:spacing w:line="300" w:lineRule="auto"/>
              <w:jc w:val="center"/>
              <w:textAlignment w:val="center"/>
              <w:rPr>
                <w:rFonts w:cs="Times New Roman"/>
                <w:b w:val="0"/>
                <w:bCs w:val="0"/>
                <w:sz w:val="20"/>
                <w:szCs w:val="20"/>
              </w:rPr>
            </w:pPr>
            <w:r>
              <w:rPr>
                <w:rFonts w:hint="eastAsia" w:cs="Times New Roman"/>
                <w:b/>
                <w:bCs/>
                <w:sz w:val="20"/>
                <w:szCs w:val="20"/>
              </w:rPr>
              <w:t>农林牧渔业技术人员</w:t>
            </w:r>
          </w:p>
        </w:tc>
        <w:tc>
          <w:tcPr>
            <w:tcW w:w="1335" w:type="pct"/>
            <w:shd w:val="clear" w:color="auto" w:fill="E2EFD9" w:themeFill="accent6" w:themeFillTint="33"/>
            <w:vAlign w:val="center"/>
          </w:tcPr>
          <w:p w14:paraId="664F0787">
            <w:pPr>
              <w:widowControl/>
              <w:spacing w:line="300" w:lineRule="auto"/>
              <w:jc w:val="center"/>
              <w:textAlignment w:val="center"/>
              <w:rPr>
                <w:rFonts w:cs="Times New Roman"/>
                <w:sz w:val="20"/>
                <w:szCs w:val="20"/>
              </w:rPr>
            </w:pPr>
            <w:r>
              <w:rPr>
                <w:rFonts w:hint="eastAsia" w:cs="Times New Roman"/>
                <w:sz w:val="20"/>
                <w:szCs w:val="20"/>
              </w:rPr>
              <w:t>4</w:t>
            </w:r>
          </w:p>
        </w:tc>
        <w:tc>
          <w:tcPr>
            <w:tcW w:w="1611" w:type="pct"/>
            <w:shd w:val="clear" w:color="auto" w:fill="E2EFD9" w:themeFill="accent6" w:themeFillTint="33"/>
            <w:vAlign w:val="center"/>
          </w:tcPr>
          <w:p w14:paraId="08DDE37C">
            <w:pPr>
              <w:widowControl/>
              <w:spacing w:line="300" w:lineRule="auto"/>
              <w:jc w:val="center"/>
              <w:textAlignment w:val="center"/>
              <w:rPr>
                <w:rFonts w:cs="Times New Roman"/>
                <w:sz w:val="20"/>
                <w:szCs w:val="20"/>
              </w:rPr>
            </w:pPr>
            <w:r>
              <w:rPr>
                <w:rFonts w:hint="eastAsia" w:cs="Times New Roman"/>
                <w:sz w:val="20"/>
                <w:szCs w:val="20"/>
              </w:rPr>
              <w:t>1.52%</w:t>
            </w:r>
          </w:p>
        </w:tc>
      </w:tr>
      <w:tr w14:paraId="19CF832E">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2052" w:type="pct"/>
            <w:shd w:val="clear" w:color="auto" w:fill="E2EFD9" w:themeFill="accent6" w:themeFillTint="33"/>
            <w:vAlign w:val="center"/>
          </w:tcPr>
          <w:p w14:paraId="3642833A">
            <w:pPr>
              <w:widowControl/>
              <w:spacing w:line="300" w:lineRule="auto"/>
              <w:jc w:val="center"/>
              <w:textAlignment w:val="center"/>
              <w:rPr>
                <w:rFonts w:cs="Times New Roman"/>
                <w:b w:val="0"/>
                <w:bCs w:val="0"/>
                <w:sz w:val="20"/>
                <w:szCs w:val="20"/>
              </w:rPr>
            </w:pPr>
            <w:r>
              <w:rPr>
                <w:rFonts w:hint="eastAsia" w:cs="Times New Roman"/>
                <w:b/>
                <w:bCs/>
                <w:sz w:val="20"/>
                <w:szCs w:val="20"/>
              </w:rPr>
              <w:t>办事人员和有关人员</w:t>
            </w:r>
          </w:p>
        </w:tc>
        <w:tc>
          <w:tcPr>
            <w:tcW w:w="1335" w:type="pct"/>
            <w:shd w:val="clear" w:color="auto" w:fill="E2EFD9" w:themeFill="accent6" w:themeFillTint="33"/>
            <w:vAlign w:val="center"/>
          </w:tcPr>
          <w:p w14:paraId="183F5C43">
            <w:pPr>
              <w:widowControl/>
              <w:spacing w:line="300" w:lineRule="auto"/>
              <w:jc w:val="center"/>
              <w:textAlignment w:val="center"/>
              <w:rPr>
                <w:rFonts w:cs="Times New Roman"/>
                <w:sz w:val="20"/>
                <w:szCs w:val="20"/>
              </w:rPr>
            </w:pPr>
            <w:r>
              <w:rPr>
                <w:rFonts w:hint="eastAsia" w:cs="Times New Roman"/>
                <w:sz w:val="20"/>
                <w:szCs w:val="20"/>
              </w:rPr>
              <w:t>3</w:t>
            </w:r>
          </w:p>
        </w:tc>
        <w:tc>
          <w:tcPr>
            <w:tcW w:w="1611" w:type="pct"/>
            <w:shd w:val="clear" w:color="auto" w:fill="E2EFD9" w:themeFill="accent6" w:themeFillTint="33"/>
            <w:vAlign w:val="center"/>
          </w:tcPr>
          <w:p w14:paraId="03800BE0">
            <w:pPr>
              <w:widowControl/>
              <w:spacing w:line="300" w:lineRule="auto"/>
              <w:jc w:val="center"/>
              <w:textAlignment w:val="center"/>
              <w:rPr>
                <w:rFonts w:cs="Times New Roman"/>
                <w:sz w:val="20"/>
                <w:szCs w:val="20"/>
              </w:rPr>
            </w:pPr>
            <w:r>
              <w:rPr>
                <w:rFonts w:hint="eastAsia" w:cs="Times New Roman"/>
                <w:sz w:val="20"/>
                <w:szCs w:val="20"/>
              </w:rPr>
              <w:t>1.14%</w:t>
            </w:r>
          </w:p>
        </w:tc>
      </w:tr>
      <w:tr w14:paraId="377E8B2B">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2052" w:type="pct"/>
            <w:shd w:val="clear" w:color="auto" w:fill="E2EFD9" w:themeFill="accent6" w:themeFillTint="33"/>
            <w:vAlign w:val="center"/>
          </w:tcPr>
          <w:p w14:paraId="57A43CCD">
            <w:pPr>
              <w:widowControl/>
              <w:spacing w:line="300" w:lineRule="auto"/>
              <w:jc w:val="center"/>
              <w:textAlignment w:val="center"/>
              <w:rPr>
                <w:rFonts w:cs="Times New Roman"/>
                <w:b w:val="0"/>
                <w:bCs w:val="0"/>
                <w:sz w:val="20"/>
                <w:szCs w:val="20"/>
              </w:rPr>
            </w:pPr>
            <w:r>
              <w:rPr>
                <w:rFonts w:hint="eastAsia" w:cs="Times New Roman"/>
                <w:b/>
                <w:bCs/>
                <w:sz w:val="20"/>
                <w:szCs w:val="20"/>
              </w:rPr>
              <w:t>经济业务人员</w:t>
            </w:r>
          </w:p>
        </w:tc>
        <w:tc>
          <w:tcPr>
            <w:tcW w:w="1335" w:type="pct"/>
            <w:shd w:val="clear" w:color="auto" w:fill="E2EFD9" w:themeFill="accent6" w:themeFillTint="33"/>
            <w:vAlign w:val="center"/>
          </w:tcPr>
          <w:p w14:paraId="490279DE">
            <w:pPr>
              <w:widowControl/>
              <w:spacing w:line="300" w:lineRule="auto"/>
              <w:jc w:val="center"/>
              <w:textAlignment w:val="center"/>
              <w:rPr>
                <w:rFonts w:cs="Times New Roman"/>
                <w:sz w:val="20"/>
                <w:szCs w:val="20"/>
              </w:rPr>
            </w:pPr>
            <w:r>
              <w:rPr>
                <w:rFonts w:hint="eastAsia" w:cs="Times New Roman"/>
                <w:sz w:val="20"/>
                <w:szCs w:val="20"/>
              </w:rPr>
              <w:t>2</w:t>
            </w:r>
          </w:p>
        </w:tc>
        <w:tc>
          <w:tcPr>
            <w:tcW w:w="1611" w:type="pct"/>
            <w:shd w:val="clear" w:color="auto" w:fill="E2EFD9" w:themeFill="accent6" w:themeFillTint="33"/>
            <w:vAlign w:val="center"/>
          </w:tcPr>
          <w:p w14:paraId="79C83615">
            <w:pPr>
              <w:widowControl/>
              <w:spacing w:line="300" w:lineRule="auto"/>
              <w:jc w:val="center"/>
              <w:textAlignment w:val="center"/>
              <w:rPr>
                <w:rFonts w:cs="Times New Roman"/>
                <w:sz w:val="20"/>
                <w:szCs w:val="20"/>
              </w:rPr>
            </w:pPr>
            <w:r>
              <w:rPr>
                <w:rFonts w:hint="eastAsia" w:cs="Times New Roman"/>
                <w:sz w:val="20"/>
                <w:szCs w:val="20"/>
              </w:rPr>
              <w:t>0.76%</w:t>
            </w:r>
          </w:p>
        </w:tc>
      </w:tr>
      <w:tr w14:paraId="621BDEAE">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57" w:hRule="atLeast"/>
        </w:trPr>
        <w:tc>
          <w:tcPr>
            <w:tcW w:w="2052" w:type="pct"/>
            <w:shd w:val="clear" w:color="auto" w:fill="E2EFD9" w:themeFill="accent6" w:themeFillTint="33"/>
            <w:vAlign w:val="center"/>
          </w:tcPr>
          <w:p w14:paraId="3120F989">
            <w:pPr>
              <w:widowControl/>
              <w:spacing w:line="300" w:lineRule="auto"/>
              <w:jc w:val="center"/>
              <w:textAlignment w:val="center"/>
              <w:rPr>
                <w:rFonts w:cs="Times New Roman"/>
                <w:b w:val="0"/>
                <w:bCs w:val="0"/>
                <w:sz w:val="20"/>
                <w:szCs w:val="20"/>
              </w:rPr>
            </w:pPr>
            <w:r>
              <w:rPr>
                <w:rFonts w:hint="eastAsia" w:cs="Times New Roman"/>
                <w:b/>
                <w:bCs/>
                <w:sz w:val="20"/>
                <w:szCs w:val="20"/>
              </w:rPr>
              <w:t>合计</w:t>
            </w:r>
          </w:p>
        </w:tc>
        <w:tc>
          <w:tcPr>
            <w:tcW w:w="1335" w:type="pct"/>
            <w:shd w:val="clear" w:color="auto" w:fill="E2EFD9" w:themeFill="accent6" w:themeFillTint="33"/>
            <w:vAlign w:val="center"/>
          </w:tcPr>
          <w:p w14:paraId="7D094D64">
            <w:pPr>
              <w:widowControl/>
              <w:spacing w:line="300" w:lineRule="auto"/>
              <w:jc w:val="center"/>
              <w:textAlignment w:val="center"/>
              <w:rPr>
                <w:rFonts w:cs="Times New Roman"/>
                <w:sz w:val="20"/>
                <w:szCs w:val="20"/>
              </w:rPr>
            </w:pPr>
            <w:r>
              <w:rPr>
                <w:rFonts w:hint="eastAsia" w:cs="Times New Roman"/>
                <w:sz w:val="20"/>
                <w:szCs w:val="20"/>
              </w:rPr>
              <w:t>264</w:t>
            </w:r>
          </w:p>
        </w:tc>
        <w:tc>
          <w:tcPr>
            <w:tcW w:w="1611" w:type="pct"/>
            <w:shd w:val="clear" w:color="auto" w:fill="E2EFD9" w:themeFill="accent6" w:themeFillTint="33"/>
            <w:vAlign w:val="center"/>
          </w:tcPr>
          <w:p w14:paraId="7DEDEE71">
            <w:pPr>
              <w:widowControl/>
              <w:spacing w:line="300" w:lineRule="auto"/>
              <w:jc w:val="center"/>
              <w:textAlignment w:val="center"/>
              <w:rPr>
                <w:rFonts w:cs="Times New Roman"/>
                <w:sz w:val="20"/>
                <w:szCs w:val="20"/>
              </w:rPr>
            </w:pPr>
            <w:r>
              <w:rPr>
                <w:rFonts w:hint="eastAsia" w:cs="Times New Roman"/>
                <w:sz w:val="20"/>
                <w:szCs w:val="20"/>
              </w:rPr>
              <w:t>100%</w:t>
            </w:r>
          </w:p>
        </w:tc>
      </w:tr>
    </w:tbl>
    <w:p w14:paraId="0756E458">
      <w:pPr>
        <w:pStyle w:val="2"/>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毕业生专项就业情况</w:t>
      </w:r>
    </w:p>
    <w:p w14:paraId="67D4E600">
      <w:pPr>
        <w:pStyle w:val="3"/>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毕业生</w:t>
      </w:r>
      <w:r>
        <w:rPr>
          <w:rFonts w:hint="eastAsia" w:ascii="仿宋" w:hAnsi="仿宋" w:eastAsia="仿宋" w:cs="仿宋"/>
          <w:sz w:val="32"/>
          <w:szCs w:val="32"/>
          <w:lang w:eastAsia="zh-CN"/>
        </w:rPr>
        <w:t>各</w:t>
      </w:r>
      <w:r>
        <w:rPr>
          <w:rFonts w:hint="eastAsia" w:ascii="仿宋" w:hAnsi="仿宋" w:eastAsia="仿宋" w:cs="仿宋"/>
          <w:sz w:val="32"/>
          <w:szCs w:val="32"/>
        </w:rPr>
        <w:t>学院升学情况</w:t>
      </w:r>
    </w:p>
    <w:p w14:paraId="489DC555">
      <w:pPr>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我院</w:t>
      </w:r>
      <w:r>
        <w:rPr>
          <w:rFonts w:hint="eastAsia" w:ascii="仿宋" w:hAnsi="仿宋" w:eastAsia="仿宋" w:cs="仿宋"/>
          <w:sz w:val="32"/>
          <w:szCs w:val="32"/>
        </w:rPr>
        <w:t>2024届毕业生共有41人选择国内升学，升学比例为12.69%，其中升学比例最高的是绘画与设计学院，有16人，升学比例为25.4%；升学人数最多的是绘画与设计学院，有16人，占升学毕业生总数的39.02%。（注：升学率=升学人数/毕业生人数*100%，升学占比=升学人数/全校升学人数*100%）</w:t>
      </w:r>
    </w:p>
    <w:tbl>
      <w:tblPr>
        <w:tblStyle w:val="27"/>
        <w:tblW w:w="5123" w:type="pct"/>
        <w:tblInd w:w="0" w:type="dxa"/>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Layout w:type="autofit"/>
        <w:tblCellMar>
          <w:top w:w="0" w:type="dxa"/>
          <w:left w:w="108" w:type="dxa"/>
          <w:bottom w:w="0" w:type="dxa"/>
          <w:right w:w="108" w:type="dxa"/>
        </w:tblCellMar>
      </w:tblPr>
      <w:tblGrid>
        <w:gridCol w:w="2318"/>
        <w:gridCol w:w="1179"/>
        <w:gridCol w:w="1303"/>
        <w:gridCol w:w="1310"/>
        <w:gridCol w:w="2622"/>
      </w:tblGrid>
      <w:tr w14:paraId="61810CB3">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85" w:hRule="atLeast"/>
        </w:trPr>
        <w:tc>
          <w:tcPr>
            <w:tcW w:w="1327" w:type="pct"/>
            <w:tcBorders>
              <w:top w:val="single" w:color="70AD47" w:themeColor="accent6" w:sz="4" w:space="0"/>
              <w:left w:val="single" w:color="70AD47" w:themeColor="accent6" w:sz="4" w:space="0"/>
              <w:bottom w:val="single" w:color="70AD47" w:themeColor="accent6" w:sz="4" w:space="0"/>
              <w:right w:val="nil"/>
              <w:insideH w:val="single" w:sz="4" w:space="0"/>
              <w:insideV w:val="nil"/>
            </w:tcBorders>
            <w:shd w:val="clear" w:color="auto" w:fill="70AD47" w:themeFill="accent6"/>
          </w:tcPr>
          <w:p w14:paraId="66E4B26E">
            <w:pPr>
              <w:spacing w:line="300" w:lineRule="auto"/>
              <w:jc w:val="center"/>
              <w:rPr>
                <w:rFonts w:ascii="宋体" w:hAnsi="宋体" w:cs="宋体"/>
                <w:b w:val="0"/>
                <w:bCs/>
                <w:color w:val="FFFFFF" w:themeColor="background1"/>
                <w:sz w:val="18"/>
                <w:szCs w:val="18"/>
                <w14:textFill>
                  <w14:solidFill>
                    <w14:schemeClr w14:val="bg1"/>
                  </w14:solidFill>
                </w14:textFill>
              </w:rPr>
            </w:pPr>
            <w:r>
              <w:rPr>
                <w:rFonts w:ascii="宋体" w:hAnsi="宋体" w:cs="宋体"/>
                <w:b/>
                <w:bCs w:val="0"/>
                <w:color w:val="auto"/>
                <w:sz w:val="18"/>
                <w:szCs w:val="18"/>
              </w:rPr>
              <w:t>学院</w:t>
            </w:r>
          </w:p>
        </w:tc>
        <w:tc>
          <w:tcPr>
            <w:tcW w:w="675" w:type="pct"/>
            <w:tcBorders>
              <w:top w:val="single" w:color="70AD47" w:themeColor="accent6" w:sz="4" w:space="0"/>
              <w:bottom w:val="single" w:color="70AD47" w:themeColor="accent6" w:sz="4" w:space="0"/>
              <w:right w:val="nil"/>
              <w:insideH w:val="single" w:sz="4" w:space="0"/>
              <w:insideV w:val="nil"/>
            </w:tcBorders>
            <w:shd w:val="clear" w:color="auto" w:fill="70AD47" w:themeFill="accent6"/>
          </w:tcPr>
          <w:p w14:paraId="7EE01137">
            <w:pPr>
              <w:spacing w:line="300" w:lineRule="auto"/>
              <w:jc w:val="center"/>
              <w:rPr>
                <w:rFonts w:ascii="宋体" w:hAnsi="宋体" w:cs="宋体"/>
                <w:b w:val="0"/>
                <w:bCs w:val="0"/>
                <w:color w:val="FFFFFF" w:themeColor="background1"/>
                <w:sz w:val="18"/>
                <w:szCs w:val="18"/>
                <w14:textFill>
                  <w14:solidFill>
                    <w14:schemeClr w14:val="bg1"/>
                  </w14:solidFill>
                </w14:textFill>
              </w:rPr>
            </w:pPr>
            <w:r>
              <w:rPr>
                <w:rFonts w:hint="eastAsia" w:ascii="宋体" w:hAnsi="宋体" w:cs="宋体"/>
                <w:b/>
                <w:bCs w:val="0"/>
                <w:color w:val="auto"/>
                <w:sz w:val="18"/>
                <w:szCs w:val="18"/>
              </w:rPr>
              <w:t>毕业生</w:t>
            </w:r>
            <w:r>
              <w:rPr>
                <w:rFonts w:ascii="宋体" w:hAnsi="宋体" w:cs="宋体"/>
                <w:b/>
                <w:bCs w:val="0"/>
                <w:color w:val="auto"/>
                <w:sz w:val="18"/>
                <w:szCs w:val="18"/>
              </w:rPr>
              <w:t>数</w:t>
            </w:r>
          </w:p>
        </w:tc>
        <w:tc>
          <w:tcPr>
            <w:tcW w:w="746" w:type="pct"/>
            <w:tcBorders>
              <w:top w:val="single" w:color="70AD47" w:themeColor="accent6" w:sz="4" w:space="0"/>
              <w:bottom w:val="single" w:color="70AD47" w:themeColor="accent6" w:sz="4" w:space="0"/>
              <w:right w:val="nil"/>
              <w:insideH w:val="single" w:sz="4" w:space="0"/>
              <w:insideV w:val="nil"/>
            </w:tcBorders>
            <w:shd w:val="clear" w:color="auto" w:fill="70AD47" w:themeFill="accent6"/>
          </w:tcPr>
          <w:p w14:paraId="458F93B1">
            <w:pPr>
              <w:spacing w:line="300" w:lineRule="auto"/>
              <w:jc w:val="center"/>
              <w:rPr>
                <w:rFonts w:ascii="宋体" w:hAnsi="宋体" w:cs="宋体"/>
                <w:b/>
                <w:bCs/>
                <w:color w:val="FFFFFF" w:themeColor="background1"/>
                <w:sz w:val="18"/>
                <w:szCs w:val="18"/>
                <w14:textFill>
                  <w14:solidFill>
                    <w14:schemeClr w14:val="bg1"/>
                  </w14:solidFill>
                </w14:textFill>
              </w:rPr>
            </w:pPr>
            <w:r>
              <w:rPr>
                <w:rFonts w:hint="eastAsia" w:ascii="宋体" w:hAnsi="宋体" w:cs="宋体"/>
                <w:b/>
                <w:bCs/>
                <w:color w:val="auto"/>
                <w:sz w:val="18"/>
                <w:szCs w:val="18"/>
              </w:rPr>
              <w:t>升学人数</w:t>
            </w:r>
          </w:p>
        </w:tc>
        <w:tc>
          <w:tcPr>
            <w:tcW w:w="750" w:type="pct"/>
            <w:tcBorders>
              <w:top w:val="single" w:color="70AD47" w:themeColor="accent6" w:sz="4" w:space="0"/>
              <w:bottom w:val="single" w:color="70AD47" w:themeColor="accent6" w:sz="4" w:space="0"/>
              <w:right w:val="nil"/>
              <w:insideH w:val="single" w:sz="4" w:space="0"/>
              <w:insideV w:val="nil"/>
            </w:tcBorders>
            <w:shd w:val="clear" w:color="auto" w:fill="70AD47" w:themeFill="accent6"/>
          </w:tcPr>
          <w:p w14:paraId="050E7E4A">
            <w:pPr>
              <w:spacing w:line="300" w:lineRule="auto"/>
              <w:jc w:val="center"/>
              <w:rPr>
                <w:rFonts w:ascii="宋体" w:hAnsi="宋体" w:cs="宋体"/>
                <w:b/>
                <w:bCs/>
                <w:color w:val="FFFFFF" w:themeColor="background1"/>
                <w:sz w:val="18"/>
                <w:szCs w:val="18"/>
                <w14:textFill>
                  <w14:solidFill>
                    <w14:schemeClr w14:val="bg1"/>
                  </w14:solidFill>
                </w14:textFill>
              </w:rPr>
            </w:pPr>
            <w:r>
              <w:rPr>
                <w:rFonts w:hint="eastAsia" w:ascii="宋体" w:hAnsi="宋体" w:cs="宋体"/>
                <w:b/>
                <w:bCs/>
                <w:color w:val="auto"/>
                <w:sz w:val="18"/>
                <w:szCs w:val="18"/>
              </w:rPr>
              <w:t>升学率</w:t>
            </w:r>
          </w:p>
        </w:tc>
        <w:tc>
          <w:tcPr>
            <w:tcW w:w="1500" w:type="pct"/>
            <w:tcBorders>
              <w:top w:val="single" w:color="70AD47" w:themeColor="accent6" w:sz="4" w:space="0"/>
              <w:bottom w:val="single" w:color="70AD47" w:themeColor="accent6" w:sz="4" w:space="0"/>
              <w:right w:val="single" w:color="70AD47" w:themeColor="accent6" w:sz="4" w:space="0"/>
              <w:insideH w:val="single" w:sz="4" w:space="0"/>
              <w:insideV w:val="nil"/>
            </w:tcBorders>
            <w:shd w:val="clear" w:color="auto" w:fill="70AD47" w:themeFill="accent6"/>
          </w:tcPr>
          <w:p w14:paraId="321C7FD8">
            <w:pPr>
              <w:spacing w:line="300" w:lineRule="auto"/>
              <w:jc w:val="center"/>
              <w:rPr>
                <w:rFonts w:ascii="宋体" w:hAnsi="宋体" w:cs="宋体"/>
                <w:b w:val="0"/>
                <w:bCs w:val="0"/>
                <w:color w:val="FFFFFF" w:themeColor="background1"/>
                <w:sz w:val="18"/>
                <w:szCs w:val="18"/>
                <w14:textFill>
                  <w14:solidFill>
                    <w14:schemeClr w14:val="bg1"/>
                  </w14:solidFill>
                </w14:textFill>
              </w:rPr>
            </w:pPr>
            <w:r>
              <w:rPr>
                <w:rFonts w:hint="eastAsia" w:ascii="宋体" w:hAnsi="宋体" w:cs="宋体"/>
                <w:b/>
                <w:bCs w:val="0"/>
                <w:color w:val="auto"/>
                <w:sz w:val="18"/>
                <w:szCs w:val="18"/>
              </w:rPr>
              <w:t>升学占比</w:t>
            </w:r>
          </w:p>
        </w:tc>
      </w:tr>
      <w:tr w14:paraId="4CBBEB38">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85" w:hRule="atLeast"/>
        </w:trPr>
        <w:tc>
          <w:tcPr>
            <w:tcW w:w="1327" w:type="pct"/>
            <w:shd w:val="clear" w:color="auto" w:fill="E2EFD9" w:themeFill="accent6" w:themeFillTint="33"/>
          </w:tcPr>
          <w:p w14:paraId="0F1ADB70">
            <w:pPr>
              <w:spacing w:line="300" w:lineRule="auto"/>
              <w:jc w:val="center"/>
              <w:rPr>
                <w:rFonts w:cs="Times New Roman"/>
                <w:b w:val="0"/>
                <w:bCs w:val="0"/>
                <w:sz w:val="18"/>
                <w:szCs w:val="18"/>
              </w:rPr>
            </w:pPr>
            <w:r>
              <w:rPr>
                <w:rFonts w:hint="eastAsia" w:cs="Times New Roman"/>
                <w:b/>
                <w:bCs/>
                <w:sz w:val="18"/>
                <w:szCs w:val="18"/>
              </w:rPr>
              <w:t>绘画与设计学院</w:t>
            </w:r>
          </w:p>
        </w:tc>
        <w:tc>
          <w:tcPr>
            <w:tcW w:w="675" w:type="pct"/>
            <w:shd w:val="clear" w:color="auto" w:fill="E2EFD9" w:themeFill="accent6" w:themeFillTint="33"/>
          </w:tcPr>
          <w:p w14:paraId="507197D0">
            <w:pPr>
              <w:spacing w:line="300" w:lineRule="auto"/>
              <w:jc w:val="center"/>
              <w:rPr>
                <w:rFonts w:cs="Times New Roman"/>
                <w:sz w:val="18"/>
                <w:szCs w:val="18"/>
              </w:rPr>
            </w:pPr>
            <w:r>
              <w:rPr>
                <w:rFonts w:hint="eastAsia" w:cs="Times New Roman"/>
                <w:sz w:val="18"/>
                <w:szCs w:val="18"/>
              </w:rPr>
              <w:t>63</w:t>
            </w:r>
          </w:p>
        </w:tc>
        <w:tc>
          <w:tcPr>
            <w:tcW w:w="746" w:type="pct"/>
            <w:shd w:val="clear" w:color="auto" w:fill="E2EFD9" w:themeFill="accent6" w:themeFillTint="33"/>
          </w:tcPr>
          <w:p w14:paraId="7B035174">
            <w:pPr>
              <w:spacing w:line="300" w:lineRule="auto"/>
              <w:jc w:val="center"/>
              <w:rPr>
                <w:rFonts w:cs="Times New Roman"/>
                <w:sz w:val="18"/>
                <w:szCs w:val="18"/>
              </w:rPr>
            </w:pPr>
            <w:r>
              <w:rPr>
                <w:rFonts w:hint="eastAsia" w:cs="Times New Roman"/>
                <w:sz w:val="18"/>
                <w:szCs w:val="18"/>
              </w:rPr>
              <w:t>16</w:t>
            </w:r>
          </w:p>
        </w:tc>
        <w:tc>
          <w:tcPr>
            <w:tcW w:w="750" w:type="pct"/>
            <w:shd w:val="clear" w:color="auto" w:fill="E2EFD9" w:themeFill="accent6" w:themeFillTint="33"/>
          </w:tcPr>
          <w:p w14:paraId="16EB452F">
            <w:pPr>
              <w:spacing w:line="300" w:lineRule="auto"/>
              <w:jc w:val="center"/>
              <w:rPr>
                <w:rFonts w:cs="Times New Roman"/>
                <w:sz w:val="18"/>
                <w:szCs w:val="18"/>
              </w:rPr>
            </w:pPr>
            <w:r>
              <w:rPr>
                <w:rFonts w:hint="eastAsia" w:cs="Times New Roman"/>
                <w:sz w:val="18"/>
                <w:szCs w:val="18"/>
              </w:rPr>
              <w:t>25.4%</w:t>
            </w:r>
          </w:p>
        </w:tc>
        <w:tc>
          <w:tcPr>
            <w:tcW w:w="1500" w:type="pct"/>
            <w:shd w:val="clear" w:color="auto" w:fill="E2EFD9" w:themeFill="accent6" w:themeFillTint="33"/>
          </w:tcPr>
          <w:p w14:paraId="5BA6F509">
            <w:pPr>
              <w:spacing w:line="300" w:lineRule="auto"/>
              <w:jc w:val="center"/>
              <w:rPr>
                <w:rFonts w:cs="Times New Roman"/>
                <w:sz w:val="18"/>
                <w:szCs w:val="18"/>
              </w:rPr>
            </w:pPr>
            <w:r>
              <w:rPr>
                <w:rFonts w:hint="eastAsia" w:cs="Times New Roman"/>
                <w:sz w:val="18"/>
                <w:szCs w:val="18"/>
              </w:rPr>
              <w:t>39.02%</w:t>
            </w:r>
          </w:p>
        </w:tc>
      </w:tr>
      <w:tr w14:paraId="369C02BC">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85" w:hRule="atLeast"/>
        </w:trPr>
        <w:tc>
          <w:tcPr>
            <w:tcW w:w="1327" w:type="pct"/>
            <w:shd w:val="clear" w:color="auto" w:fill="E2EFD9" w:themeFill="accent6" w:themeFillTint="33"/>
          </w:tcPr>
          <w:p w14:paraId="1D68D56F">
            <w:pPr>
              <w:spacing w:line="300" w:lineRule="auto"/>
              <w:jc w:val="center"/>
              <w:rPr>
                <w:rFonts w:cs="Times New Roman"/>
                <w:b w:val="0"/>
                <w:bCs w:val="0"/>
                <w:sz w:val="18"/>
                <w:szCs w:val="18"/>
              </w:rPr>
            </w:pPr>
            <w:r>
              <w:rPr>
                <w:rFonts w:hint="eastAsia" w:cs="Times New Roman"/>
                <w:b/>
                <w:bCs/>
                <w:sz w:val="18"/>
                <w:szCs w:val="18"/>
              </w:rPr>
              <w:t>幼儿师范学院</w:t>
            </w:r>
          </w:p>
        </w:tc>
        <w:tc>
          <w:tcPr>
            <w:tcW w:w="675" w:type="pct"/>
            <w:shd w:val="clear" w:color="auto" w:fill="E2EFD9" w:themeFill="accent6" w:themeFillTint="33"/>
          </w:tcPr>
          <w:p w14:paraId="60511067">
            <w:pPr>
              <w:spacing w:line="300" w:lineRule="auto"/>
              <w:jc w:val="center"/>
              <w:rPr>
                <w:rFonts w:cs="Times New Roman"/>
                <w:sz w:val="18"/>
                <w:szCs w:val="18"/>
              </w:rPr>
            </w:pPr>
            <w:r>
              <w:rPr>
                <w:rFonts w:hint="eastAsia" w:cs="Times New Roman"/>
                <w:sz w:val="18"/>
                <w:szCs w:val="18"/>
              </w:rPr>
              <w:t>77</w:t>
            </w:r>
          </w:p>
        </w:tc>
        <w:tc>
          <w:tcPr>
            <w:tcW w:w="746" w:type="pct"/>
            <w:shd w:val="clear" w:color="auto" w:fill="E2EFD9" w:themeFill="accent6" w:themeFillTint="33"/>
          </w:tcPr>
          <w:p w14:paraId="0CEE9EA5">
            <w:pPr>
              <w:spacing w:line="300" w:lineRule="auto"/>
              <w:jc w:val="center"/>
              <w:rPr>
                <w:rFonts w:cs="Times New Roman"/>
                <w:sz w:val="18"/>
                <w:szCs w:val="18"/>
              </w:rPr>
            </w:pPr>
            <w:r>
              <w:rPr>
                <w:rFonts w:hint="eastAsia" w:cs="Times New Roman"/>
                <w:sz w:val="18"/>
                <w:szCs w:val="18"/>
              </w:rPr>
              <w:t>8</w:t>
            </w:r>
          </w:p>
        </w:tc>
        <w:tc>
          <w:tcPr>
            <w:tcW w:w="750" w:type="pct"/>
            <w:shd w:val="clear" w:color="auto" w:fill="E2EFD9" w:themeFill="accent6" w:themeFillTint="33"/>
          </w:tcPr>
          <w:p w14:paraId="6ADD74C0">
            <w:pPr>
              <w:spacing w:line="300" w:lineRule="auto"/>
              <w:jc w:val="center"/>
              <w:rPr>
                <w:rFonts w:cs="Times New Roman"/>
                <w:sz w:val="18"/>
                <w:szCs w:val="18"/>
              </w:rPr>
            </w:pPr>
            <w:r>
              <w:rPr>
                <w:rFonts w:hint="eastAsia" w:cs="Times New Roman"/>
                <w:sz w:val="18"/>
                <w:szCs w:val="18"/>
              </w:rPr>
              <w:t>10.39%</w:t>
            </w:r>
          </w:p>
        </w:tc>
        <w:tc>
          <w:tcPr>
            <w:tcW w:w="1500" w:type="pct"/>
            <w:shd w:val="clear" w:color="auto" w:fill="E2EFD9" w:themeFill="accent6" w:themeFillTint="33"/>
          </w:tcPr>
          <w:p w14:paraId="6471132D">
            <w:pPr>
              <w:spacing w:line="300" w:lineRule="auto"/>
              <w:jc w:val="center"/>
              <w:rPr>
                <w:rFonts w:cs="Times New Roman"/>
                <w:sz w:val="18"/>
                <w:szCs w:val="18"/>
              </w:rPr>
            </w:pPr>
            <w:r>
              <w:rPr>
                <w:rFonts w:hint="eastAsia" w:cs="Times New Roman"/>
                <w:sz w:val="18"/>
                <w:szCs w:val="18"/>
              </w:rPr>
              <w:t>19.51%</w:t>
            </w:r>
          </w:p>
        </w:tc>
      </w:tr>
      <w:tr w14:paraId="70629BA1">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85" w:hRule="atLeast"/>
        </w:trPr>
        <w:tc>
          <w:tcPr>
            <w:tcW w:w="1327" w:type="pct"/>
            <w:shd w:val="clear" w:color="auto" w:fill="E2EFD9" w:themeFill="accent6" w:themeFillTint="33"/>
          </w:tcPr>
          <w:p w14:paraId="41450F22">
            <w:pPr>
              <w:spacing w:line="300" w:lineRule="auto"/>
              <w:jc w:val="center"/>
              <w:rPr>
                <w:rFonts w:cs="Times New Roman"/>
                <w:b w:val="0"/>
                <w:bCs w:val="0"/>
                <w:sz w:val="18"/>
                <w:szCs w:val="18"/>
              </w:rPr>
            </w:pPr>
            <w:r>
              <w:rPr>
                <w:rFonts w:hint="eastAsia" w:cs="Times New Roman"/>
                <w:b/>
                <w:bCs/>
                <w:sz w:val="18"/>
                <w:szCs w:val="18"/>
              </w:rPr>
              <w:t>计算机电子商务学院</w:t>
            </w:r>
          </w:p>
        </w:tc>
        <w:tc>
          <w:tcPr>
            <w:tcW w:w="675" w:type="pct"/>
            <w:shd w:val="clear" w:color="auto" w:fill="E2EFD9" w:themeFill="accent6" w:themeFillTint="33"/>
          </w:tcPr>
          <w:p w14:paraId="01E3F928">
            <w:pPr>
              <w:spacing w:line="300" w:lineRule="auto"/>
              <w:jc w:val="center"/>
              <w:rPr>
                <w:rFonts w:hint="default" w:cs="Times New Roman" w:eastAsiaTheme="minorEastAsia"/>
                <w:sz w:val="18"/>
                <w:szCs w:val="18"/>
                <w:lang w:val="en-US" w:eastAsia="zh-CN"/>
              </w:rPr>
            </w:pPr>
            <w:r>
              <w:rPr>
                <w:rFonts w:hint="eastAsia" w:cs="Times New Roman"/>
                <w:sz w:val="18"/>
                <w:szCs w:val="18"/>
                <w:lang w:val="en-US" w:eastAsia="zh-CN"/>
              </w:rPr>
              <w:t>40</w:t>
            </w:r>
          </w:p>
        </w:tc>
        <w:tc>
          <w:tcPr>
            <w:tcW w:w="746" w:type="pct"/>
            <w:shd w:val="clear" w:color="auto" w:fill="E2EFD9" w:themeFill="accent6" w:themeFillTint="33"/>
          </w:tcPr>
          <w:p w14:paraId="0B93E38A">
            <w:pPr>
              <w:spacing w:line="300" w:lineRule="auto"/>
              <w:jc w:val="center"/>
              <w:rPr>
                <w:rFonts w:hint="eastAsia" w:cs="Times New Roman" w:eastAsiaTheme="minorEastAsia"/>
                <w:sz w:val="18"/>
                <w:szCs w:val="18"/>
                <w:lang w:eastAsia="zh-CN"/>
              </w:rPr>
            </w:pPr>
            <w:r>
              <w:rPr>
                <w:rFonts w:hint="eastAsia" w:cs="Times New Roman"/>
                <w:sz w:val="18"/>
                <w:szCs w:val="18"/>
                <w:lang w:val="en-US" w:eastAsia="zh-CN"/>
              </w:rPr>
              <w:t>9</w:t>
            </w:r>
          </w:p>
        </w:tc>
        <w:tc>
          <w:tcPr>
            <w:tcW w:w="750" w:type="pct"/>
            <w:shd w:val="clear" w:color="auto" w:fill="E2EFD9" w:themeFill="accent6" w:themeFillTint="33"/>
          </w:tcPr>
          <w:p w14:paraId="7FB2CCAC">
            <w:pPr>
              <w:spacing w:line="300" w:lineRule="auto"/>
              <w:jc w:val="center"/>
              <w:rPr>
                <w:rFonts w:cs="Times New Roman"/>
                <w:sz w:val="18"/>
                <w:szCs w:val="18"/>
              </w:rPr>
            </w:pPr>
            <w:r>
              <w:rPr>
                <w:rFonts w:hint="eastAsia" w:cs="Times New Roman"/>
                <w:sz w:val="18"/>
                <w:szCs w:val="18"/>
                <w:lang w:val="en-US" w:eastAsia="zh-CN"/>
              </w:rPr>
              <w:t>22.5</w:t>
            </w:r>
            <w:r>
              <w:rPr>
                <w:rFonts w:hint="eastAsia" w:cs="Times New Roman"/>
                <w:sz w:val="18"/>
                <w:szCs w:val="18"/>
              </w:rPr>
              <w:t>%</w:t>
            </w:r>
          </w:p>
        </w:tc>
        <w:tc>
          <w:tcPr>
            <w:tcW w:w="1500" w:type="pct"/>
            <w:shd w:val="clear" w:color="auto" w:fill="E2EFD9" w:themeFill="accent6" w:themeFillTint="33"/>
          </w:tcPr>
          <w:p w14:paraId="613B5E08">
            <w:pPr>
              <w:spacing w:line="300" w:lineRule="auto"/>
              <w:jc w:val="center"/>
              <w:rPr>
                <w:rFonts w:cs="Times New Roman"/>
                <w:sz w:val="18"/>
                <w:szCs w:val="18"/>
              </w:rPr>
            </w:pPr>
            <w:r>
              <w:rPr>
                <w:rFonts w:hint="eastAsia" w:cs="Times New Roman"/>
                <w:sz w:val="18"/>
                <w:szCs w:val="18"/>
                <w:lang w:val="en-US" w:eastAsia="zh-CN"/>
              </w:rPr>
              <w:t>21.95</w:t>
            </w:r>
            <w:r>
              <w:rPr>
                <w:rFonts w:hint="eastAsia" w:cs="Times New Roman"/>
                <w:sz w:val="18"/>
                <w:szCs w:val="18"/>
              </w:rPr>
              <w:t>%</w:t>
            </w:r>
          </w:p>
        </w:tc>
      </w:tr>
      <w:tr w14:paraId="1388356C">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85" w:hRule="atLeast"/>
        </w:trPr>
        <w:tc>
          <w:tcPr>
            <w:tcW w:w="1327" w:type="pct"/>
            <w:shd w:val="clear" w:color="auto" w:fill="E2EFD9" w:themeFill="accent6" w:themeFillTint="33"/>
          </w:tcPr>
          <w:p w14:paraId="7287A730">
            <w:pPr>
              <w:spacing w:line="300" w:lineRule="auto"/>
              <w:jc w:val="center"/>
              <w:rPr>
                <w:rFonts w:cs="Times New Roman"/>
                <w:b w:val="0"/>
                <w:bCs w:val="0"/>
                <w:sz w:val="18"/>
                <w:szCs w:val="18"/>
              </w:rPr>
            </w:pPr>
            <w:r>
              <w:rPr>
                <w:rFonts w:hint="eastAsia" w:cs="Times New Roman"/>
                <w:b/>
                <w:bCs/>
                <w:sz w:val="18"/>
                <w:szCs w:val="18"/>
              </w:rPr>
              <w:t>护理中医学院</w:t>
            </w:r>
          </w:p>
        </w:tc>
        <w:tc>
          <w:tcPr>
            <w:tcW w:w="675" w:type="pct"/>
            <w:shd w:val="clear" w:color="auto" w:fill="E2EFD9" w:themeFill="accent6" w:themeFillTint="33"/>
          </w:tcPr>
          <w:p w14:paraId="591013EE">
            <w:pPr>
              <w:spacing w:line="300" w:lineRule="auto"/>
              <w:jc w:val="center"/>
              <w:rPr>
                <w:rFonts w:cs="Times New Roman"/>
                <w:sz w:val="18"/>
                <w:szCs w:val="18"/>
              </w:rPr>
            </w:pPr>
            <w:r>
              <w:rPr>
                <w:rFonts w:hint="eastAsia" w:cs="Times New Roman"/>
                <w:sz w:val="18"/>
                <w:szCs w:val="18"/>
              </w:rPr>
              <w:t>88</w:t>
            </w:r>
          </w:p>
        </w:tc>
        <w:tc>
          <w:tcPr>
            <w:tcW w:w="746" w:type="pct"/>
            <w:shd w:val="clear" w:color="auto" w:fill="E2EFD9" w:themeFill="accent6" w:themeFillTint="33"/>
          </w:tcPr>
          <w:p w14:paraId="6F23DB2E">
            <w:pPr>
              <w:spacing w:line="300" w:lineRule="auto"/>
              <w:jc w:val="center"/>
              <w:rPr>
                <w:rFonts w:cs="Times New Roman"/>
                <w:sz w:val="18"/>
                <w:szCs w:val="18"/>
              </w:rPr>
            </w:pPr>
            <w:r>
              <w:rPr>
                <w:rFonts w:hint="eastAsia" w:cs="Times New Roman"/>
                <w:sz w:val="18"/>
                <w:szCs w:val="18"/>
              </w:rPr>
              <w:t>5</w:t>
            </w:r>
          </w:p>
        </w:tc>
        <w:tc>
          <w:tcPr>
            <w:tcW w:w="750" w:type="pct"/>
            <w:shd w:val="clear" w:color="auto" w:fill="E2EFD9" w:themeFill="accent6" w:themeFillTint="33"/>
          </w:tcPr>
          <w:p w14:paraId="50DFF187">
            <w:pPr>
              <w:spacing w:line="300" w:lineRule="auto"/>
              <w:jc w:val="center"/>
              <w:rPr>
                <w:rFonts w:cs="Times New Roman"/>
                <w:sz w:val="18"/>
                <w:szCs w:val="18"/>
              </w:rPr>
            </w:pPr>
            <w:r>
              <w:rPr>
                <w:rFonts w:hint="eastAsia" w:cs="Times New Roman"/>
                <w:sz w:val="18"/>
                <w:szCs w:val="18"/>
              </w:rPr>
              <w:t>5.68%</w:t>
            </w:r>
          </w:p>
        </w:tc>
        <w:tc>
          <w:tcPr>
            <w:tcW w:w="1500" w:type="pct"/>
            <w:shd w:val="clear" w:color="auto" w:fill="E2EFD9" w:themeFill="accent6" w:themeFillTint="33"/>
          </w:tcPr>
          <w:p w14:paraId="73117E4A">
            <w:pPr>
              <w:spacing w:line="300" w:lineRule="auto"/>
              <w:jc w:val="center"/>
              <w:rPr>
                <w:rFonts w:cs="Times New Roman"/>
                <w:sz w:val="18"/>
                <w:szCs w:val="18"/>
              </w:rPr>
            </w:pPr>
            <w:r>
              <w:rPr>
                <w:rFonts w:hint="eastAsia" w:cs="Times New Roman"/>
                <w:sz w:val="18"/>
                <w:szCs w:val="18"/>
              </w:rPr>
              <w:t>12.20%</w:t>
            </w:r>
          </w:p>
        </w:tc>
      </w:tr>
      <w:tr w14:paraId="7481095F">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85" w:hRule="atLeast"/>
        </w:trPr>
        <w:tc>
          <w:tcPr>
            <w:tcW w:w="1327" w:type="pct"/>
            <w:shd w:val="clear" w:color="auto" w:fill="E2EFD9" w:themeFill="accent6" w:themeFillTint="33"/>
          </w:tcPr>
          <w:p w14:paraId="07332E50">
            <w:pPr>
              <w:spacing w:line="300" w:lineRule="auto"/>
              <w:jc w:val="center"/>
              <w:rPr>
                <w:rFonts w:cs="Times New Roman"/>
                <w:b w:val="0"/>
                <w:bCs w:val="0"/>
                <w:sz w:val="18"/>
                <w:szCs w:val="18"/>
              </w:rPr>
            </w:pPr>
            <w:r>
              <w:rPr>
                <w:rFonts w:hint="eastAsia" w:cs="Times New Roman"/>
                <w:b/>
                <w:bCs/>
                <w:sz w:val="18"/>
                <w:szCs w:val="18"/>
              </w:rPr>
              <w:t>空乘与高铁管理学院</w:t>
            </w:r>
          </w:p>
        </w:tc>
        <w:tc>
          <w:tcPr>
            <w:tcW w:w="675" w:type="pct"/>
            <w:shd w:val="clear" w:color="auto" w:fill="E2EFD9" w:themeFill="accent6" w:themeFillTint="33"/>
          </w:tcPr>
          <w:p w14:paraId="784675AC">
            <w:pPr>
              <w:spacing w:line="300" w:lineRule="auto"/>
              <w:jc w:val="center"/>
              <w:rPr>
                <w:rFonts w:cs="Times New Roman"/>
                <w:sz w:val="18"/>
                <w:szCs w:val="18"/>
              </w:rPr>
            </w:pPr>
            <w:r>
              <w:rPr>
                <w:rFonts w:hint="eastAsia" w:cs="Times New Roman"/>
                <w:sz w:val="18"/>
                <w:szCs w:val="18"/>
              </w:rPr>
              <w:t>55</w:t>
            </w:r>
          </w:p>
        </w:tc>
        <w:tc>
          <w:tcPr>
            <w:tcW w:w="746" w:type="pct"/>
            <w:shd w:val="clear" w:color="auto" w:fill="E2EFD9" w:themeFill="accent6" w:themeFillTint="33"/>
          </w:tcPr>
          <w:p w14:paraId="33F00233">
            <w:pPr>
              <w:spacing w:line="300" w:lineRule="auto"/>
              <w:jc w:val="center"/>
              <w:rPr>
                <w:rFonts w:cs="Times New Roman"/>
                <w:sz w:val="18"/>
                <w:szCs w:val="18"/>
              </w:rPr>
            </w:pPr>
            <w:r>
              <w:rPr>
                <w:rFonts w:hint="eastAsia" w:cs="Times New Roman"/>
                <w:sz w:val="18"/>
                <w:szCs w:val="18"/>
              </w:rPr>
              <w:t>3</w:t>
            </w:r>
          </w:p>
        </w:tc>
        <w:tc>
          <w:tcPr>
            <w:tcW w:w="750" w:type="pct"/>
            <w:shd w:val="clear" w:color="auto" w:fill="E2EFD9" w:themeFill="accent6" w:themeFillTint="33"/>
          </w:tcPr>
          <w:p w14:paraId="56127396">
            <w:pPr>
              <w:spacing w:line="300" w:lineRule="auto"/>
              <w:jc w:val="center"/>
              <w:rPr>
                <w:rFonts w:cs="Times New Roman"/>
                <w:sz w:val="18"/>
                <w:szCs w:val="18"/>
              </w:rPr>
            </w:pPr>
            <w:r>
              <w:rPr>
                <w:rFonts w:hint="eastAsia" w:cs="Times New Roman"/>
                <w:sz w:val="18"/>
                <w:szCs w:val="18"/>
              </w:rPr>
              <w:t>5.45%</w:t>
            </w:r>
          </w:p>
        </w:tc>
        <w:tc>
          <w:tcPr>
            <w:tcW w:w="1500" w:type="pct"/>
            <w:shd w:val="clear" w:color="auto" w:fill="E2EFD9" w:themeFill="accent6" w:themeFillTint="33"/>
          </w:tcPr>
          <w:p w14:paraId="37FD8A46">
            <w:pPr>
              <w:spacing w:line="300" w:lineRule="auto"/>
              <w:jc w:val="center"/>
              <w:rPr>
                <w:rFonts w:cs="Times New Roman"/>
                <w:sz w:val="18"/>
                <w:szCs w:val="18"/>
              </w:rPr>
            </w:pPr>
            <w:r>
              <w:rPr>
                <w:rFonts w:hint="eastAsia" w:cs="Times New Roman"/>
                <w:sz w:val="18"/>
                <w:szCs w:val="18"/>
              </w:rPr>
              <w:t>7.32%</w:t>
            </w:r>
          </w:p>
        </w:tc>
      </w:tr>
      <w:tr w14:paraId="7585A35C">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285" w:hRule="atLeast"/>
        </w:trPr>
        <w:tc>
          <w:tcPr>
            <w:tcW w:w="1327" w:type="pct"/>
            <w:shd w:val="clear" w:color="auto" w:fill="E2EFD9" w:themeFill="accent6" w:themeFillTint="33"/>
          </w:tcPr>
          <w:p w14:paraId="698C2398">
            <w:pPr>
              <w:spacing w:line="300" w:lineRule="auto"/>
              <w:jc w:val="center"/>
              <w:rPr>
                <w:rFonts w:cs="Times New Roman"/>
                <w:b w:val="0"/>
                <w:bCs w:val="0"/>
                <w:sz w:val="18"/>
                <w:szCs w:val="18"/>
              </w:rPr>
            </w:pPr>
            <w:r>
              <w:rPr>
                <w:rFonts w:hint="eastAsia" w:cs="Times New Roman"/>
                <w:b/>
                <w:bCs/>
                <w:sz w:val="18"/>
                <w:szCs w:val="18"/>
              </w:rPr>
              <w:t>合计</w:t>
            </w:r>
          </w:p>
        </w:tc>
        <w:tc>
          <w:tcPr>
            <w:tcW w:w="675" w:type="pct"/>
            <w:shd w:val="clear" w:color="auto" w:fill="E2EFD9" w:themeFill="accent6" w:themeFillTint="33"/>
          </w:tcPr>
          <w:p w14:paraId="6D887EEE">
            <w:pPr>
              <w:spacing w:line="300" w:lineRule="auto"/>
              <w:jc w:val="center"/>
              <w:rPr>
                <w:rFonts w:cs="Times New Roman"/>
                <w:sz w:val="18"/>
                <w:szCs w:val="18"/>
              </w:rPr>
            </w:pPr>
            <w:r>
              <w:rPr>
                <w:rFonts w:hint="eastAsia" w:cs="Times New Roman"/>
                <w:sz w:val="18"/>
                <w:szCs w:val="18"/>
              </w:rPr>
              <w:t>323</w:t>
            </w:r>
          </w:p>
        </w:tc>
        <w:tc>
          <w:tcPr>
            <w:tcW w:w="746" w:type="pct"/>
            <w:shd w:val="clear" w:color="auto" w:fill="E2EFD9" w:themeFill="accent6" w:themeFillTint="33"/>
          </w:tcPr>
          <w:p w14:paraId="6D890DD6">
            <w:pPr>
              <w:spacing w:line="300" w:lineRule="auto"/>
              <w:jc w:val="center"/>
              <w:rPr>
                <w:rFonts w:cs="Times New Roman"/>
                <w:sz w:val="18"/>
                <w:szCs w:val="18"/>
              </w:rPr>
            </w:pPr>
            <w:r>
              <w:rPr>
                <w:rFonts w:hint="eastAsia" w:cs="Times New Roman"/>
                <w:sz w:val="18"/>
                <w:szCs w:val="18"/>
              </w:rPr>
              <w:t>41</w:t>
            </w:r>
          </w:p>
        </w:tc>
        <w:tc>
          <w:tcPr>
            <w:tcW w:w="750" w:type="pct"/>
            <w:shd w:val="clear" w:color="auto" w:fill="E2EFD9" w:themeFill="accent6" w:themeFillTint="33"/>
          </w:tcPr>
          <w:p w14:paraId="64AEB278">
            <w:pPr>
              <w:spacing w:line="300" w:lineRule="auto"/>
              <w:jc w:val="center"/>
              <w:rPr>
                <w:rFonts w:cs="Times New Roman"/>
                <w:sz w:val="18"/>
                <w:szCs w:val="18"/>
              </w:rPr>
            </w:pPr>
            <w:r>
              <w:rPr>
                <w:rFonts w:hint="eastAsia" w:cs="Times New Roman"/>
                <w:sz w:val="18"/>
                <w:szCs w:val="18"/>
              </w:rPr>
              <w:t>12.69%</w:t>
            </w:r>
          </w:p>
        </w:tc>
        <w:tc>
          <w:tcPr>
            <w:tcW w:w="1500" w:type="pct"/>
            <w:shd w:val="clear" w:color="auto" w:fill="E2EFD9" w:themeFill="accent6" w:themeFillTint="33"/>
          </w:tcPr>
          <w:p w14:paraId="4F79F693">
            <w:pPr>
              <w:spacing w:line="300" w:lineRule="auto"/>
              <w:jc w:val="center"/>
              <w:rPr>
                <w:rFonts w:cs="Times New Roman"/>
                <w:sz w:val="18"/>
                <w:szCs w:val="18"/>
              </w:rPr>
            </w:pPr>
            <w:r>
              <w:rPr>
                <w:rFonts w:hint="eastAsia" w:cs="Times New Roman"/>
                <w:sz w:val="18"/>
                <w:szCs w:val="18"/>
              </w:rPr>
              <w:t>100%</w:t>
            </w:r>
          </w:p>
        </w:tc>
      </w:tr>
    </w:tbl>
    <w:p w14:paraId="3830242A">
      <w:pPr>
        <w:pStyle w:val="3"/>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 xml:space="preserve">.毕业生分学院出国深造情况 </w:t>
      </w:r>
    </w:p>
    <w:p w14:paraId="0CA5517C">
      <w:pPr>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我院</w:t>
      </w:r>
      <w:r>
        <w:rPr>
          <w:rFonts w:hint="eastAsia" w:ascii="仿宋" w:hAnsi="仿宋" w:eastAsia="仿宋" w:cs="仿宋"/>
          <w:sz w:val="32"/>
          <w:szCs w:val="32"/>
        </w:rPr>
        <w:t>2023届毕业生共有0人选择出国出境</w:t>
      </w:r>
      <w:r>
        <w:rPr>
          <w:rFonts w:hint="eastAsia" w:ascii="仿宋" w:hAnsi="仿宋" w:eastAsia="仿宋" w:cs="仿宋"/>
          <w:sz w:val="32"/>
          <w:szCs w:val="32"/>
          <w:lang w:eastAsia="zh-CN"/>
        </w:rPr>
        <w:t>。</w:t>
      </w:r>
    </w:p>
    <w:p w14:paraId="56D57173">
      <w:pPr>
        <w:pStyle w:val="3"/>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毕业生分学院自主创业情况 </w:t>
      </w:r>
    </w:p>
    <w:p w14:paraId="61B01E9A">
      <w:pPr>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我院</w:t>
      </w:r>
      <w:r>
        <w:rPr>
          <w:rFonts w:hint="eastAsia" w:ascii="仿宋" w:hAnsi="仿宋" w:eastAsia="仿宋" w:cs="仿宋"/>
          <w:sz w:val="32"/>
          <w:szCs w:val="32"/>
        </w:rPr>
        <w:t>2023届毕业生共有0人选择自主创业</w:t>
      </w:r>
      <w:r>
        <w:rPr>
          <w:rFonts w:hint="eastAsia" w:ascii="仿宋" w:hAnsi="仿宋" w:eastAsia="仿宋" w:cs="仿宋"/>
          <w:sz w:val="32"/>
          <w:szCs w:val="32"/>
          <w:lang w:eastAsia="zh-CN"/>
        </w:rPr>
        <w:t>。</w:t>
      </w:r>
    </w:p>
    <w:p w14:paraId="17D0568E">
      <w:pPr>
        <w:pStyle w:val="3"/>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毕业生分学院基层就业情况 </w:t>
      </w:r>
    </w:p>
    <w:p w14:paraId="13FFE787">
      <w:pPr>
        <w:pStyle w:val="3"/>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我院</w:t>
      </w:r>
      <w:r>
        <w:rPr>
          <w:rFonts w:hint="eastAsia" w:ascii="仿宋" w:hAnsi="仿宋" w:eastAsia="仿宋" w:cs="仿宋"/>
          <w:b w:val="0"/>
          <w:bCs w:val="0"/>
          <w:sz w:val="32"/>
          <w:szCs w:val="32"/>
        </w:rPr>
        <w:t>2024届毕业生共有1人选择基层就业，基层就业比例为0.31%</w:t>
      </w:r>
      <w:r>
        <w:rPr>
          <w:rFonts w:hint="eastAsia" w:ascii="仿宋" w:hAnsi="仿宋" w:eastAsia="仿宋" w:cs="仿宋"/>
          <w:b w:val="0"/>
          <w:bCs w:val="0"/>
          <w:sz w:val="32"/>
          <w:szCs w:val="32"/>
          <w:lang w:eastAsia="zh-CN"/>
        </w:rPr>
        <w:t>。</w:t>
      </w:r>
    </w:p>
    <w:p w14:paraId="58207FF2">
      <w:pPr>
        <w:pStyle w:val="3"/>
        <w:keepLines w:val="0"/>
        <w:pageBreakBefore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 xml:space="preserve">毕业生分学院未就业情况 </w:t>
      </w:r>
    </w:p>
    <w:p w14:paraId="70DF0F13">
      <w:pPr>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我</w:t>
      </w:r>
      <w:r>
        <w:rPr>
          <w:rFonts w:hint="eastAsia" w:ascii="仿宋" w:hAnsi="仿宋" w:eastAsia="仿宋" w:cs="仿宋"/>
          <w:sz w:val="32"/>
          <w:szCs w:val="32"/>
          <w:lang w:eastAsia="zh-CN"/>
        </w:rPr>
        <w:t>院</w:t>
      </w:r>
      <w:r>
        <w:rPr>
          <w:rFonts w:hint="eastAsia" w:ascii="仿宋" w:hAnsi="仿宋" w:eastAsia="仿宋" w:cs="仿宋"/>
          <w:sz w:val="32"/>
          <w:szCs w:val="32"/>
        </w:rPr>
        <w:t>2024届毕业生共有</w:t>
      </w:r>
      <w:r>
        <w:rPr>
          <w:rFonts w:hint="eastAsia" w:ascii="仿宋" w:hAnsi="仿宋" w:eastAsia="仿宋" w:cs="仿宋"/>
          <w:sz w:val="32"/>
          <w:szCs w:val="32"/>
          <w:lang w:val="en-US" w:eastAsia="zh-CN"/>
        </w:rPr>
        <w:t>4</w:t>
      </w:r>
      <w:r>
        <w:rPr>
          <w:rFonts w:hint="eastAsia" w:ascii="仿宋" w:hAnsi="仿宋" w:eastAsia="仿宋" w:cs="仿宋"/>
          <w:sz w:val="32"/>
          <w:szCs w:val="32"/>
        </w:rPr>
        <w:t>人选择未就业，未就业比例为</w:t>
      </w:r>
      <w:r>
        <w:rPr>
          <w:rFonts w:hint="eastAsia" w:ascii="仿宋" w:hAnsi="仿宋" w:eastAsia="仿宋" w:cs="仿宋"/>
          <w:sz w:val="32"/>
          <w:szCs w:val="32"/>
          <w:lang w:val="en-US" w:eastAsia="zh-CN"/>
        </w:rPr>
        <w:t>1.24</w:t>
      </w:r>
      <w:r>
        <w:rPr>
          <w:rFonts w:hint="eastAsia" w:ascii="仿宋" w:hAnsi="仿宋" w:eastAsia="仿宋" w:cs="仿宋"/>
          <w:sz w:val="32"/>
          <w:szCs w:val="32"/>
        </w:rPr>
        <w:t>%</w:t>
      </w:r>
      <w:r>
        <w:rPr>
          <w:rFonts w:hint="eastAsia" w:ascii="仿宋" w:hAnsi="仿宋" w:eastAsia="仿宋" w:cs="仿宋"/>
          <w:sz w:val="32"/>
          <w:szCs w:val="32"/>
          <w:lang w:eastAsia="zh-CN"/>
        </w:rPr>
        <w:t>。</w:t>
      </w:r>
    </w:p>
    <w:p w14:paraId="6E83A0A8">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right="0" w:rightChars="0"/>
        <w:jc w:val="both"/>
        <w:textAlignment w:val="auto"/>
        <w:outlineLvl w:val="9"/>
        <w:rPr>
          <w:rFonts w:hint="eastAsia" w:ascii="黑体" w:hAnsi="黑体" w:eastAsia="黑体" w:cs="黑体"/>
          <w:b/>
          <w:bCs/>
          <w:color w:val="000000"/>
          <w:spacing w:val="-11"/>
          <w:w w:val="95"/>
          <w:sz w:val="32"/>
          <w:szCs w:val="32"/>
          <w:lang w:val="en-US" w:eastAsia="zh-CN"/>
        </w:rPr>
      </w:pPr>
      <w:r>
        <w:rPr>
          <w:rFonts w:hint="eastAsia" w:ascii="黑体" w:hAnsi="黑体" w:eastAsia="黑体" w:cs="黑体"/>
          <w:b/>
          <w:bCs/>
          <w:color w:val="000000"/>
          <w:spacing w:val="-11"/>
          <w:w w:val="95"/>
          <w:sz w:val="32"/>
          <w:szCs w:val="32"/>
          <w:lang w:val="en-US" w:eastAsia="zh-CN"/>
        </w:rPr>
        <w:t>四、就业满意度问卷调查分析</w:t>
      </w:r>
    </w:p>
    <w:p w14:paraId="34117534">
      <w:pPr>
        <w:pStyle w:val="2"/>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（一）毕业生就业满意度</w:t>
      </w:r>
    </w:p>
    <w:p w14:paraId="190636AD">
      <w:pPr>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就业满意度是毕业生对自己就业现状的主观评价，从毕业生的角度反映其对就业质量的满意程度</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我</w:t>
      </w:r>
      <w:r>
        <w:rPr>
          <w:rFonts w:hint="eastAsia" w:ascii="仿宋" w:hAnsi="仿宋" w:eastAsia="仿宋" w:cs="仿宋"/>
          <w:color w:val="000000"/>
          <w:sz w:val="32"/>
          <w:szCs w:val="32"/>
          <w:lang w:eastAsia="zh-CN"/>
        </w:rPr>
        <w:t>院</w:t>
      </w: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届毕业生的就业满意度为9</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w:t>
      </w:r>
    </w:p>
    <w:p w14:paraId="7CEBCC27">
      <w:pPr>
        <w:widowControl w:val="0"/>
        <w:numPr>
          <w:ilvl w:val="0"/>
          <w:numId w:val="0"/>
        </w:numPr>
        <w:spacing w:line="360" w:lineRule="auto"/>
        <w:jc w:val="center"/>
      </w:pPr>
      <w:r>
        <w:drawing>
          <wp:inline distT="0" distB="0" distL="114300" distR="114300">
            <wp:extent cx="4000500" cy="2419985"/>
            <wp:effectExtent l="4445" t="5080" r="14605" b="13335"/>
            <wp:docPr id="48" name="图表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1CC181D">
      <w:pPr>
        <w:pStyle w:val="42"/>
        <w:keepNext/>
        <w:keepLines w:val="0"/>
        <w:pageBreakBefore w:val="0"/>
        <w:widowControl/>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lang w:eastAsia="zh-CN"/>
        </w:rPr>
        <w:t>毕业生对就业各方面的满意度。我院</w:t>
      </w: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届毕业生对工作薪酬、工作内容、职业前景的满意度分别为</w:t>
      </w:r>
      <w:r>
        <w:rPr>
          <w:rFonts w:hint="eastAsia" w:ascii="仿宋" w:hAnsi="仿宋" w:eastAsia="仿宋" w:cs="仿宋"/>
          <w:color w:val="000000"/>
          <w:sz w:val="32"/>
          <w:szCs w:val="32"/>
          <w:lang w:val="en-US" w:eastAsia="zh-CN"/>
        </w:rPr>
        <w:t>56.2</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67</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60</w:t>
      </w:r>
      <w:r>
        <w:rPr>
          <w:rFonts w:hint="eastAsia" w:ascii="仿宋" w:hAnsi="仿宋" w:eastAsia="仿宋" w:cs="仿宋"/>
          <w:color w:val="000000"/>
          <w:sz w:val="32"/>
          <w:szCs w:val="32"/>
        </w:rPr>
        <w:t>%。</w:t>
      </w:r>
    </w:p>
    <w:p w14:paraId="61A1C0CD">
      <w:pPr>
        <w:widowControl w:val="0"/>
        <w:numPr>
          <w:ilvl w:val="0"/>
          <w:numId w:val="0"/>
        </w:numPr>
        <w:spacing w:line="360" w:lineRule="auto"/>
        <w:jc w:val="center"/>
      </w:pPr>
      <w:r>
        <w:drawing>
          <wp:inline distT="0" distB="0" distL="114300" distR="114300">
            <wp:extent cx="3922395" cy="2503805"/>
            <wp:effectExtent l="4445" t="4445" r="16510" b="6350"/>
            <wp:docPr id="34" name="图表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9783D2C">
      <w:pPr>
        <w:widowControl w:val="0"/>
        <w:numPr>
          <w:ilvl w:val="0"/>
          <w:numId w:val="0"/>
        </w:numPr>
        <w:spacing w:line="360" w:lineRule="auto"/>
        <w:jc w:val="center"/>
      </w:pPr>
      <w:r>
        <w:drawing>
          <wp:inline distT="0" distB="0" distL="114300" distR="114300">
            <wp:extent cx="3921760" cy="2486025"/>
            <wp:effectExtent l="4445" t="4445" r="17145" b="5080"/>
            <wp:docPr id="35" name="图表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B6A07EF">
      <w:pPr>
        <w:widowControl w:val="0"/>
        <w:numPr>
          <w:ilvl w:val="0"/>
          <w:numId w:val="0"/>
        </w:numPr>
        <w:spacing w:line="360" w:lineRule="auto"/>
        <w:jc w:val="center"/>
      </w:pPr>
      <w:r>
        <w:drawing>
          <wp:inline distT="0" distB="0" distL="114300" distR="114300">
            <wp:extent cx="3902710" cy="2131060"/>
            <wp:effectExtent l="4445" t="4445" r="17145" b="17145"/>
            <wp:docPr id="36" name="图表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021EE1A">
      <w:pPr>
        <w:pStyle w:val="2"/>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（二）毕业生家长就业满意度</w:t>
      </w:r>
    </w:p>
    <w:p w14:paraId="5334BE83">
      <w:pPr>
        <w:pStyle w:val="42"/>
        <w:keepNext/>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lang w:eastAsia="zh-CN"/>
        </w:rPr>
        <w:t>我院</w:t>
      </w: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届毕业生</w:t>
      </w:r>
      <w:r>
        <w:rPr>
          <w:rFonts w:hint="eastAsia" w:ascii="仿宋" w:hAnsi="仿宋" w:eastAsia="仿宋" w:cs="仿宋"/>
          <w:color w:val="000000"/>
          <w:sz w:val="32"/>
          <w:szCs w:val="32"/>
          <w:lang w:eastAsia="zh-CN"/>
        </w:rPr>
        <w:t>家长</w:t>
      </w:r>
      <w:r>
        <w:rPr>
          <w:rFonts w:hint="eastAsia" w:ascii="仿宋" w:hAnsi="仿宋" w:eastAsia="仿宋" w:cs="仿宋"/>
          <w:color w:val="000000"/>
          <w:sz w:val="32"/>
          <w:szCs w:val="32"/>
        </w:rPr>
        <w:t>对</w:t>
      </w:r>
      <w:r>
        <w:rPr>
          <w:rFonts w:hint="eastAsia" w:ascii="仿宋" w:hAnsi="仿宋" w:eastAsia="仿宋" w:cs="仿宋"/>
          <w:color w:val="000000"/>
          <w:sz w:val="32"/>
          <w:szCs w:val="32"/>
          <w:lang w:eastAsia="zh-CN"/>
        </w:rPr>
        <w:t>学校及所学专业的</w:t>
      </w:r>
      <w:r>
        <w:rPr>
          <w:rFonts w:hint="eastAsia" w:ascii="仿宋" w:hAnsi="仿宋" w:eastAsia="仿宋" w:cs="仿宋"/>
          <w:color w:val="000000"/>
          <w:sz w:val="32"/>
          <w:szCs w:val="32"/>
        </w:rPr>
        <w:t>的满意度</w:t>
      </w:r>
      <w:r>
        <w:rPr>
          <w:rFonts w:hint="eastAsia" w:ascii="仿宋" w:hAnsi="仿宋" w:eastAsia="仿宋" w:cs="仿宋"/>
          <w:color w:val="000000"/>
          <w:sz w:val="32"/>
          <w:szCs w:val="32"/>
          <w:lang w:eastAsia="zh-CN"/>
        </w:rPr>
        <w:t>均</w:t>
      </w:r>
      <w:r>
        <w:rPr>
          <w:rFonts w:hint="eastAsia" w:ascii="仿宋" w:hAnsi="仿宋" w:eastAsia="仿宋" w:cs="仿宋"/>
          <w:color w:val="000000"/>
          <w:sz w:val="32"/>
          <w:szCs w:val="32"/>
        </w:rPr>
        <w:t>为</w:t>
      </w:r>
      <w:r>
        <w:rPr>
          <w:rFonts w:hint="eastAsia" w:ascii="仿宋" w:hAnsi="仿宋" w:eastAsia="仿宋" w:cs="仿宋"/>
          <w:color w:val="000000"/>
          <w:sz w:val="32"/>
          <w:szCs w:val="32"/>
          <w:lang w:val="en-US" w:eastAsia="zh-CN"/>
        </w:rPr>
        <w:t>99.3%。</w:t>
      </w:r>
    </w:p>
    <w:p w14:paraId="537C87F5">
      <w:pPr>
        <w:widowControl w:val="0"/>
        <w:numPr>
          <w:ilvl w:val="0"/>
          <w:numId w:val="0"/>
        </w:numPr>
        <w:spacing w:line="360" w:lineRule="auto"/>
        <w:jc w:val="center"/>
      </w:pPr>
      <w:r>
        <w:drawing>
          <wp:inline distT="0" distB="0" distL="114300" distR="114300">
            <wp:extent cx="3202305" cy="2032000"/>
            <wp:effectExtent l="4445" t="4445" r="12700" b="2095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4D2BC41">
      <w:pPr>
        <w:pStyle w:val="42"/>
        <w:keepNext/>
        <w:keepLines w:val="0"/>
        <w:pageBreakBefore w:val="0"/>
        <w:widowControl/>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lang w:eastAsia="zh-CN"/>
        </w:rPr>
        <w:t>我院</w:t>
      </w: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届毕业生</w:t>
      </w:r>
      <w:r>
        <w:rPr>
          <w:rFonts w:hint="eastAsia" w:ascii="仿宋" w:hAnsi="仿宋" w:eastAsia="仿宋" w:cs="仿宋"/>
          <w:color w:val="000000"/>
          <w:sz w:val="32"/>
          <w:szCs w:val="32"/>
          <w:lang w:eastAsia="zh-CN"/>
        </w:rPr>
        <w:t>家长</w:t>
      </w:r>
      <w:r>
        <w:rPr>
          <w:rFonts w:hint="eastAsia" w:ascii="仿宋" w:hAnsi="仿宋" w:eastAsia="仿宋" w:cs="仿宋"/>
          <w:color w:val="000000"/>
          <w:sz w:val="32"/>
          <w:szCs w:val="32"/>
        </w:rPr>
        <w:t>对</w:t>
      </w:r>
      <w:r>
        <w:rPr>
          <w:rFonts w:hint="eastAsia" w:ascii="仿宋" w:hAnsi="仿宋" w:eastAsia="仿宋" w:cs="仿宋"/>
          <w:color w:val="000000"/>
          <w:sz w:val="32"/>
          <w:szCs w:val="32"/>
          <w:lang w:eastAsia="zh-CN"/>
        </w:rPr>
        <w:t>学生的工作单位、单位环境、工作内容、工作强度</w:t>
      </w:r>
      <w:r>
        <w:rPr>
          <w:rFonts w:hint="eastAsia" w:ascii="仿宋" w:hAnsi="仿宋" w:eastAsia="仿宋" w:cs="仿宋"/>
          <w:color w:val="000000"/>
          <w:sz w:val="32"/>
          <w:szCs w:val="32"/>
        </w:rPr>
        <w:t>的满意度</w:t>
      </w:r>
      <w:r>
        <w:rPr>
          <w:rFonts w:hint="eastAsia" w:ascii="仿宋" w:hAnsi="仿宋" w:eastAsia="仿宋" w:cs="仿宋"/>
          <w:color w:val="000000"/>
          <w:sz w:val="32"/>
          <w:szCs w:val="32"/>
          <w:lang w:eastAsia="zh-CN"/>
        </w:rPr>
        <w:t>分别</w:t>
      </w:r>
      <w:r>
        <w:rPr>
          <w:rFonts w:hint="eastAsia" w:ascii="仿宋" w:hAnsi="仿宋" w:eastAsia="仿宋" w:cs="仿宋"/>
          <w:color w:val="000000"/>
          <w:sz w:val="32"/>
          <w:szCs w:val="32"/>
        </w:rPr>
        <w:t>为</w:t>
      </w:r>
      <w:r>
        <w:rPr>
          <w:rFonts w:hint="eastAsia" w:ascii="仿宋" w:hAnsi="仿宋" w:eastAsia="仿宋" w:cs="仿宋"/>
          <w:color w:val="000000"/>
          <w:sz w:val="32"/>
          <w:szCs w:val="32"/>
          <w:lang w:val="en-US" w:eastAsia="zh-CN"/>
        </w:rPr>
        <w:t>98.59%、98.6%、98.59%、98.59%。</w:t>
      </w:r>
    </w:p>
    <w:p w14:paraId="28508588">
      <w:pPr>
        <w:widowControl w:val="0"/>
        <w:numPr>
          <w:ilvl w:val="0"/>
          <w:numId w:val="0"/>
        </w:numPr>
        <w:spacing w:line="360" w:lineRule="auto"/>
        <w:jc w:val="center"/>
        <w:rPr>
          <w:rFonts w:hint="eastAsia" w:ascii="仿宋" w:hAnsi="仿宋" w:eastAsia="仿宋" w:cs="仿宋"/>
          <w:sz w:val="32"/>
          <w:szCs w:val="32"/>
        </w:rPr>
      </w:pPr>
      <w:r>
        <w:drawing>
          <wp:inline distT="0" distB="0" distL="114300" distR="114300">
            <wp:extent cx="3429000" cy="2898140"/>
            <wp:effectExtent l="4445" t="4445" r="14605" b="1206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F125677">
      <w:pPr>
        <w:pStyle w:val="2"/>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（三）教师对就业工作的满意度</w:t>
      </w:r>
    </w:p>
    <w:p w14:paraId="2BA72769">
      <w:pPr>
        <w:pStyle w:val="42"/>
        <w:keepNext/>
        <w:keepLines w:val="0"/>
        <w:pageBreakBefore w:val="0"/>
        <w:widowControl/>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color w:val="000000"/>
          <w:sz w:val="32"/>
          <w:szCs w:val="32"/>
          <w:lang w:val="en-US" w:eastAsia="zh-CN"/>
        </w:rPr>
        <w:t>1.我院教师对学科专业及人才培养质量的满意度分别为96%、92%。</w:t>
      </w:r>
    </w:p>
    <w:p w14:paraId="757B61FE">
      <w:pPr>
        <w:widowControl w:val="0"/>
        <w:numPr>
          <w:ilvl w:val="0"/>
          <w:numId w:val="0"/>
        </w:numPr>
        <w:spacing w:line="360" w:lineRule="auto"/>
        <w:jc w:val="center"/>
      </w:pPr>
      <w:r>
        <w:drawing>
          <wp:inline distT="0" distB="0" distL="114300" distR="114300">
            <wp:extent cx="3568065" cy="2938780"/>
            <wp:effectExtent l="4445" t="4445" r="8890" b="9525"/>
            <wp:docPr id="2" name="图表 2" descr="7b0a202020202263686172745265734964223a202232303437353437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2AF9B31">
      <w:pPr>
        <w:pStyle w:val="42"/>
        <w:keepNext/>
        <w:keepLines w:val="0"/>
        <w:pageBreakBefore w:val="0"/>
        <w:widowControl/>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color w:val="000000"/>
          <w:sz w:val="32"/>
          <w:szCs w:val="32"/>
          <w:lang w:val="en-US" w:eastAsia="zh-CN"/>
        </w:rPr>
        <w:t>2.我院教师对就业指导服务课程评价的形式、符合学生需求的满意度分别为96%、100%。</w:t>
      </w:r>
    </w:p>
    <w:p w14:paraId="352A7A50">
      <w:pPr>
        <w:widowControl w:val="0"/>
        <w:numPr>
          <w:ilvl w:val="0"/>
          <w:numId w:val="0"/>
        </w:numPr>
        <w:spacing w:line="360" w:lineRule="auto"/>
        <w:jc w:val="center"/>
        <w:rPr>
          <w:rFonts w:hint="eastAsia" w:eastAsiaTheme="minorEastAsia"/>
          <w:lang w:val="en-US" w:eastAsia="zh-CN"/>
        </w:rPr>
      </w:pPr>
      <w:r>
        <w:drawing>
          <wp:inline distT="0" distB="0" distL="114300" distR="114300">
            <wp:extent cx="3557270" cy="3014980"/>
            <wp:effectExtent l="4445" t="4445" r="19685" b="952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FA8DB8E">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right="0" w:rightChars="0"/>
        <w:jc w:val="both"/>
        <w:textAlignment w:val="auto"/>
        <w:outlineLvl w:val="9"/>
        <w:rPr>
          <w:rFonts w:hint="eastAsia" w:ascii="黑体" w:hAnsi="黑体" w:eastAsia="黑体" w:cs="黑体"/>
          <w:b/>
          <w:bCs/>
          <w:color w:val="000000"/>
          <w:spacing w:val="-11"/>
          <w:w w:val="95"/>
          <w:sz w:val="32"/>
          <w:szCs w:val="32"/>
          <w:lang w:val="en-US" w:eastAsia="zh-CN"/>
        </w:rPr>
      </w:pPr>
      <w:r>
        <w:rPr>
          <w:rFonts w:hint="eastAsia" w:ascii="黑体" w:hAnsi="黑体" w:eastAsia="黑体" w:cs="黑体"/>
          <w:b/>
          <w:bCs/>
          <w:color w:val="000000"/>
          <w:spacing w:val="-11"/>
          <w:w w:val="95"/>
          <w:sz w:val="32"/>
          <w:szCs w:val="32"/>
          <w:lang w:val="en-US" w:eastAsia="zh-CN"/>
        </w:rPr>
        <w:t>五、促进就业主要工作举措及特色亮点</w:t>
      </w:r>
    </w:p>
    <w:p w14:paraId="4DEB966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3" w:firstLineChars="200"/>
        <w:jc w:val="both"/>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（一）工作举措</w:t>
      </w:r>
    </w:p>
    <w:p w14:paraId="7DAAD8D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lang w:eastAsia="zh-CN"/>
        </w:rPr>
        <w:t>积极开展书记校长访企拓岗促就业专项行动</w:t>
      </w:r>
    </w:p>
    <w:p w14:paraId="2A02CA7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我院积极开展书记校长访企拓岗促就业专项行动，坚持“一把手”工程，充分发挥我院书记、院长以及院领导班子成员重要示范作用，带动学院全员深度参与做好毕业生就业工作，就业组织领导上下联动，提升就业质量，</w:t>
      </w:r>
      <w:r>
        <w:rPr>
          <w:rFonts w:hint="eastAsia" w:ascii="仿宋" w:hAnsi="仿宋" w:eastAsia="仿宋" w:cs="仿宋"/>
          <w:sz w:val="32"/>
          <w:szCs w:val="32"/>
          <w:lang w:eastAsia="zh-CN"/>
        </w:rPr>
        <w:t>坚持以市场需求为导向，</w:t>
      </w:r>
      <w:r>
        <w:rPr>
          <w:rFonts w:hint="eastAsia" w:ascii="仿宋" w:hAnsi="仿宋" w:eastAsia="仿宋" w:cs="仿宋"/>
          <w:sz w:val="32"/>
          <w:szCs w:val="32"/>
        </w:rPr>
        <w:t>探索就业工作新思路</w:t>
      </w:r>
      <w:r>
        <w:rPr>
          <w:rFonts w:hint="eastAsia" w:ascii="仿宋" w:hAnsi="仿宋" w:eastAsia="仿宋" w:cs="仿宋"/>
          <w:sz w:val="32"/>
          <w:szCs w:val="32"/>
          <w:lang w:eastAsia="zh-CN"/>
        </w:rPr>
        <w:t>，把走访用人单位作为深化供需对接就业育人的重要内容，建立互访机制，找准校企合作切入点，实现共同发展。</w:t>
      </w:r>
    </w:p>
    <w:p w14:paraId="5DF49EF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与实习单位密切联系，促进实习单位的直接就业</w:t>
      </w:r>
    </w:p>
    <w:p w14:paraId="3E58836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w:t>
      </w:r>
      <w:r>
        <w:rPr>
          <w:rFonts w:hint="eastAsia" w:ascii="仿宋" w:hAnsi="仿宋" w:eastAsia="仿宋" w:cs="仿宋"/>
          <w:sz w:val="32"/>
          <w:szCs w:val="32"/>
          <w:lang w:val="en-US" w:eastAsia="zh-CN"/>
        </w:rPr>
        <w:t>院</w:t>
      </w:r>
      <w:r>
        <w:rPr>
          <w:rFonts w:hint="eastAsia" w:ascii="仿宋" w:hAnsi="仿宋" w:eastAsia="仿宋" w:cs="仿宋"/>
          <w:sz w:val="32"/>
          <w:szCs w:val="32"/>
        </w:rPr>
        <w:t>高度重视校企合作工作，校企合作最重要的形式就是集中安排学生实习，按照以往惯例大部分的学生会被实习单位留用，此措施是促进学生就业的重要手段，</w:t>
      </w:r>
      <w:r>
        <w:rPr>
          <w:rFonts w:hint="eastAsia" w:ascii="仿宋" w:hAnsi="仿宋" w:eastAsia="仿宋" w:cs="仿宋"/>
          <w:sz w:val="32"/>
          <w:szCs w:val="32"/>
          <w:lang w:val="en-US" w:eastAsia="zh-CN"/>
        </w:rPr>
        <w:t>学院</w:t>
      </w:r>
      <w:r>
        <w:rPr>
          <w:rFonts w:hint="eastAsia" w:ascii="仿宋" w:hAnsi="仿宋" w:eastAsia="仿宋" w:cs="仿宋"/>
          <w:sz w:val="32"/>
          <w:szCs w:val="32"/>
        </w:rPr>
        <w:t>对实习单位的选择比较多元，既考虑用人单位的实际情况也考虑学生的</w:t>
      </w:r>
      <w:r>
        <w:rPr>
          <w:rFonts w:hint="eastAsia" w:ascii="仿宋" w:hAnsi="仿宋" w:eastAsia="仿宋" w:cs="仿宋"/>
          <w:sz w:val="32"/>
          <w:szCs w:val="32"/>
          <w:lang w:eastAsia="zh-CN"/>
        </w:rPr>
        <w:t>实际</w:t>
      </w:r>
      <w:r>
        <w:rPr>
          <w:rFonts w:hint="eastAsia" w:ascii="仿宋" w:hAnsi="仿宋" w:eastAsia="仿宋" w:cs="仿宋"/>
          <w:sz w:val="32"/>
          <w:szCs w:val="32"/>
        </w:rPr>
        <w:t>情况，实习直接转为就业，节省用人单位的招聘与培养成本也减少学生就业压力。</w:t>
      </w:r>
    </w:p>
    <w:p w14:paraId="4AA7573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3.扩充升学通道，拓宽学历深造途径</w:t>
      </w:r>
    </w:p>
    <w:p w14:paraId="7BF4341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我院公共教育学院对有学历提升需求的学生根据专升本考试大纲进行系统教学辅导，解决需要提升学历的学生升本难、无方向、无目标的困难，从而提高升学率。</w:t>
      </w:r>
    </w:p>
    <w:p w14:paraId="76F8088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4.鼓励毕业生响应国家号召应征入伍</w:t>
      </w:r>
    </w:p>
    <w:p w14:paraId="47A1CDB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 xml:space="preserve">国家鼓励应届毕业大学生应征入伍服义务兵役，我院在毕业生前通过班团会等形式宣传应征入伍服兵役政策，以政策为导向引领学生参军入伍。 </w:t>
      </w:r>
    </w:p>
    <w:p w14:paraId="48E42771">
      <w:pPr>
        <w:pStyle w:val="40"/>
        <w:keepNext w:val="0"/>
        <w:keepLines w:val="0"/>
        <w:pageBreakBefore w:val="0"/>
        <w:widowControl w:val="0"/>
        <w:numPr>
          <w:ilvl w:val="0"/>
          <w:numId w:val="0"/>
        </w:numPr>
        <w:kinsoku/>
        <w:wordWrap/>
        <w:overflowPunct/>
        <w:topLinePunct w:val="0"/>
        <w:bidi w:val="0"/>
        <w:adjustRightInd/>
        <w:snapToGrid/>
        <w:spacing w:line="48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落实</w:t>
      </w:r>
      <w:r>
        <w:rPr>
          <w:rFonts w:hint="eastAsia" w:ascii="仿宋" w:hAnsi="仿宋" w:eastAsia="仿宋" w:cs="仿宋"/>
          <w:color w:val="auto"/>
          <w:sz w:val="32"/>
          <w:szCs w:val="32"/>
        </w:rPr>
        <w:t>毕业生就业</w:t>
      </w:r>
      <w:r>
        <w:rPr>
          <w:rFonts w:hint="eastAsia" w:ascii="仿宋" w:hAnsi="仿宋" w:eastAsia="仿宋" w:cs="仿宋"/>
          <w:color w:val="auto"/>
          <w:sz w:val="32"/>
          <w:szCs w:val="32"/>
          <w:lang w:eastAsia="zh-CN"/>
        </w:rPr>
        <w:t>监测</w:t>
      </w:r>
      <w:r>
        <w:rPr>
          <w:rFonts w:hint="eastAsia" w:ascii="仿宋" w:hAnsi="仿宋" w:eastAsia="仿宋" w:cs="仿宋"/>
          <w:color w:val="auto"/>
          <w:sz w:val="32"/>
          <w:szCs w:val="32"/>
        </w:rPr>
        <w:t>与核查工作</w:t>
      </w:r>
    </w:p>
    <w:p w14:paraId="04C8D7D0">
      <w:pPr>
        <w:pStyle w:val="40"/>
        <w:keepNext w:val="0"/>
        <w:keepLines w:val="0"/>
        <w:pageBreakBefore w:val="0"/>
        <w:widowControl w:val="0"/>
        <w:numPr>
          <w:ilvl w:val="0"/>
          <w:numId w:val="0"/>
        </w:numPr>
        <w:kinsoku/>
        <w:wordWrap/>
        <w:overflowPunct/>
        <w:topLinePunct w:val="0"/>
        <w:bidi w:val="0"/>
        <w:adjustRightInd/>
        <w:snapToGrid/>
        <w:spacing w:line="480" w:lineRule="exact"/>
        <w:ind w:firstLine="600"/>
        <w:jc w:val="both"/>
        <w:rPr>
          <w:rFonts w:hint="eastAsia" w:ascii="仿宋" w:hAnsi="仿宋" w:eastAsia="仿宋" w:cs="仿宋"/>
          <w:sz w:val="32"/>
          <w:szCs w:val="32"/>
          <w:lang w:eastAsia="zh-CN"/>
        </w:rPr>
      </w:pPr>
      <w:r>
        <w:rPr>
          <w:rFonts w:hint="eastAsia" w:ascii="仿宋" w:hAnsi="仿宋" w:eastAsia="仿宋" w:cs="仿宋"/>
          <w:color w:val="auto"/>
          <w:sz w:val="32"/>
          <w:szCs w:val="32"/>
          <w:lang w:eastAsia="zh-CN"/>
        </w:rPr>
        <w:t>我院将</w:t>
      </w:r>
      <w:r>
        <w:rPr>
          <w:rFonts w:hint="eastAsia" w:ascii="仿宋" w:hAnsi="仿宋" w:eastAsia="仿宋" w:cs="仿宋"/>
          <w:color w:val="auto"/>
          <w:sz w:val="32"/>
          <w:szCs w:val="32"/>
        </w:rPr>
        <w:t>毕业生就业工作</w:t>
      </w:r>
      <w:r>
        <w:rPr>
          <w:rFonts w:hint="eastAsia" w:ascii="仿宋" w:hAnsi="仿宋" w:eastAsia="仿宋" w:cs="仿宋"/>
          <w:color w:val="auto"/>
          <w:sz w:val="32"/>
          <w:szCs w:val="32"/>
          <w:lang w:eastAsia="zh-CN"/>
        </w:rPr>
        <w:t>作为重点工作，切实将</w:t>
      </w:r>
      <w:r>
        <w:rPr>
          <w:rFonts w:hint="eastAsia" w:ascii="仿宋" w:hAnsi="仿宋" w:eastAsia="仿宋" w:cs="仿宋"/>
          <w:color w:val="auto"/>
          <w:sz w:val="32"/>
          <w:szCs w:val="32"/>
        </w:rPr>
        <w:t>“一把手”工程</w:t>
      </w:r>
      <w:r>
        <w:rPr>
          <w:rFonts w:hint="eastAsia" w:ascii="仿宋" w:hAnsi="仿宋" w:eastAsia="仿宋" w:cs="仿宋"/>
          <w:color w:val="auto"/>
          <w:sz w:val="32"/>
          <w:szCs w:val="32"/>
          <w:lang w:eastAsia="zh-CN"/>
        </w:rPr>
        <w:t>落实到实际，成立2024届毕业生就业监测核查工作专班，落实学院、专业学院两级核查机制，</w:t>
      </w:r>
      <w:r>
        <w:rPr>
          <w:rFonts w:hint="eastAsia" w:ascii="仿宋" w:hAnsi="仿宋" w:eastAsia="仿宋" w:cs="仿宋"/>
          <w:color w:val="auto"/>
          <w:sz w:val="32"/>
          <w:szCs w:val="32"/>
        </w:rPr>
        <w:t>对核查发现的问题线索，逐一列出问题清单，逐一制定整改措施，逐条形成工作台账，限时整改，</w:t>
      </w:r>
      <w:r>
        <w:rPr>
          <w:rFonts w:hint="eastAsia" w:ascii="仿宋" w:hAnsi="仿宋" w:eastAsia="仿宋" w:cs="仿宋"/>
          <w:color w:val="auto"/>
          <w:sz w:val="32"/>
          <w:szCs w:val="32"/>
          <w:lang w:eastAsia="zh-CN"/>
        </w:rPr>
        <w:t>稳步</w:t>
      </w:r>
      <w:r>
        <w:rPr>
          <w:rFonts w:hint="eastAsia" w:ascii="仿宋" w:hAnsi="仿宋" w:eastAsia="仿宋" w:cs="仿宋"/>
          <w:color w:val="auto"/>
          <w:sz w:val="32"/>
          <w:szCs w:val="32"/>
        </w:rPr>
        <w:t>推进，不折不扣抓好整改落实</w:t>
      </w:r>
      <w:r>
        <w:rPr>
          <w:rFonts w:hint="eastAsia" w:ascii="仿宋" w:hAnsi="仿宋" w:eastAsia="仿宋" w:cs="仿宋"/>
          <w:color w:val="auto"/>
          <w:sz w:val="32"/>
          <w:szCs w:val="32"/>
          <w:lang w:eastAsia="zh-CN"/>
        </w:rPr>
        <w:t>，</w:t>
      </w:r>
      <w:r>
        <w:rPr>
          <w:rFonts w:hint="eastAsia" w:ascii="仿宋" w:hAnsi="仿宋" w:eastAsia="仿宋" w:cs="仿宋"/>
          <w:sz w:val="32"/>
          <w:szCs w:val="32"/>
        </w:rPr>
        <w:t>本着实事求是的原则开展就业工作，</w:t>
      </w:r>
      <w:r>
        <w:rPr>
          <w:rFonts w:hint="eastAsia" w:ascii="仿宋" w:hAnsi="仿宋" w:eastAsia="仿宋" w:cs="仿宋"/>
          <w:sz w:val="32"/>
          <w:szCs w:val="32"/>
          <w:lang w:eastAsia="zh-CN"/>
        </w:rPr>
        <w:t>较圆满的完成就业核查工作。</w:t>
      </w:r>
    </w:p>
    <w:p w14:paraId="14736CE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（二）特色亮点</w:t>
      </w:r>
    </w:p>
    <w:p w14:paraId="3273037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1.优化专业设置与招生计划</w:t>
      </w:r>
    </w:p>
    <w:p w14:paraId="6AA147B3">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通过对我院近三年的招生、实习实训、校企合作、就业等数据进行分析，将部分专业进行优化调整，梳理出设施农业与装备、种子生产与经营2个社会认可度较低、就业率较低、与地方产业发展契合不紧密的专业，2025年不再进行专业备案。结合招生就业情况调整和规划艺术类特色专业群、服务一老一小专业群、民生保障类专业群、培育新产业服务数字经济专业群</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服务绿色农产品加工业重点产业专业群等五大专业群。计划新增中药材生产与加工、动物医学、畜牧兽医、宠物医疗技术、口腔医学技术、医学美容技术、计算机应用、民航运输服务、飞行器维修技术、飞机机电设备维修等10个专业，确保所开设专业均与市场需求和行业发展趋势相匹配，同时合理调整招生计划数，将就业持续稳定或市场急需紧缺专业作为招生的重点专业。</w:t>
      </w:r>
    </w:p>
    <w:p w14:paraId="6CAC79D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2.推动产教融合的“四制一体化”人才培养模式，提升教学质量</w:t>
      </w:r>
    </w:p>
    <w:p w14:paraId="11E8ED33">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院以“三元模式”教学理念为指导，以教授学生有用的、管用的、实用的为原则，积极探索产教融合的“四制一体化”教育教学改革，即工作室制、工作日制、聘任制、效益工资制，其核心是成立起师资结构、教学内容、教学方式、考核评价方式完全与市场无缝对接的工作室，工作室聘任符合“三元模式”要求的负责人、任课教师及企业导师。工作室的教学内容不依赖课本教材，代之以合作企业的经营项目，根据企业经营项目的岗位需求确定工作室学习项目，建立起若干项目化教学模块，教学模块由易到难、由简入繁，所有项目模块构成总的教学体系，学生带着在工作室内完成最难、最具综合性的项目成果可直接进入企业上岗。</w:t>
      </w:r>
    </w:p>
    <w:p w14:paraId="2F3C7D01">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工作室负责人、专任教师、企业能工巧匠等带领学生选用企业项目案例进行实战教学或直接创业，变“老师教学生学”为“老师学生共同做、师傅大咖齐引领”，工作室授课教师根据工作实际过程中遇到的共性、个性问题组织集体讲授或逐个辅导。如护理专业开设基础工作室、临床工作室、考证工作室等，学生从基础理论到实践能力均有了大幅提升，</w:t>
      </w:r>
    </w:p>
    <w:p w14:paraId="622A4DA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2024年我院护士资格证书持证率超过73%、幼儿教师资格证持证率超过90%，为就业工作提供了有力保障。</w:t>
      </w:r>
    </w:p>
    <w:p w14:paraId="16DF11D8">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生学业成果的考核以项目为单位进行阶段性测试，工作室负责人、任课教师、企业老板、企业专家均参与到工作成果的验收及学生的成绩评定中，成绩评定以工作项目的完成质量及时效性、工作态度等作为指标。能独立完成企业综合项目、达到企业用人标准的学生可直接进入企业上岗，通过双向选择留任相应岗位解决就业。目前我院电子商务专业、艺术设计相关专业均采取“工作室制”的人才培养模式，工作室80%的学生可通过项目教学直接进入企业实习，实习学生中有超过50%留用，“工作室制”极大地提升了就业率与就业质量。以我院“动漫设计工作室”为例，与北京云央传媒有限公司开展项目化合作教学，项目小组学生全部进入企业实习并大多数留用，因学生在校期间就直接参与企业项目，上岗后能够迅速适应岗位要求，在企业的起薪就和转正员工待遇水平相当。</w:t>
      </w:r>
    </w:p>
    <w:p w14:paraId="0F2B30D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3.结合不同专业特点和需求的多元就业机制</w:t>
      </w:r>
    </w:p>
    <w:p w14:paraId="0331A65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我院通过产教融合的“四制一体化”教学改革实现了电子商务和艺术设计大类（含环境艺术设计、视觉传达设计、动漫设计、建筑室内设计等）的高薪就业。针对就业压力较大的护理专业通过与基层医疗服务单位、养老服务机构、健康体检机构的合作帮助学生实现在小微的医疗机构就业，从而避免与本科生的就业竞争。我院学前教育专业实现了和地方大多数幼儿园的合作，通过在优质公办园实习、到民办园就业的方式实现毕业生一毕业就被幼儿园抢用一空。空中乘务专业通过与企业联合办学、订单式培养的模式实现学生全部就业。通过一专业一策略的就业机制设计，我院实现了“两个不低于”的就业目标。针对部分高考成绩较好且有学历提升意愿的学生，我院积极开设相应选修课帮助学生强化升本课程，其中报名参加专升本考试空中乘务专业的学生升本率75%、电子商务专业升本率69%、设计专业升本率73%,升本的学生人数逐年增加。</w:t>
      </w:r>
    </w:p>
    <w:p w14:paraId="4B3A5D8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4.优化就业机构设置</w:t>
      </w:r>
    </w:p>
    <w:p w14:paraId="3E1A847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除我院招生就业处总体负责学院的就业工作外，各专业学院院长是就业领导小组的核心成员，专业学院的各工作室不仅承担教学任务还承担本专业对外合作与联络的任务，通过广泛开展校企合作、校企项目化教学、校企共建工作室等方式与企业之间衔接，将就业工作的重要环节前置到专业学院开展，招生就业处更多进行就业指导、政策宣传与就业监督，从而形成了各具特色的专业就业机制。</w:t>
      </w:r>
    </w:p>
    <w:p w14:paraId="635C2ED1">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lang w:eastAsia="zh-CN"/>
        </w:rPr>
        <w:t>宣讲、培训等其他措施辅助就业落实</w:t>
      </w:r>
    </w:p>
    <w:p w14:paraId="29C40EE8">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我院</w:t>
      </w:r>
      <w:r>
        <w:rPr>
          <w:rFonts w:hint="eastAsia" w:ascii="仿宋" w:hAnsi="仿宋" w:eastAsia="仿宋" w:cs="仿宋"/>
          <w:sz w:val="32"/>
          <w:szCs w:val="32"/>
        </w:rPr>
        <w:t>邀请自治区就业创业优秀讲师为大三</w:t>
      </w:r>
      <w:r>
        <w:rPr>
          <w:rFonts w:hint="eastAsia" w:ascii="仿宋" w:hAnsi="仿宋" w:eastAsia="仿宋" w:cs="仿宋"/>
          <w:sz w:val="32"/>
          <w:szCs w:val="32"/>
          <w:lang w:val="en-US" w:eastAsia="zh-CN"/>
        </w:rPr>
        <w:t>323</w:t>
      </w:r>
      <w:r>
        <w:rPr>
          <w:rFonts w:hint="eastAsia" w:ascii="仿宋" w:hAnsi="仿宋" w:eastAsia="仿宋" w:cs="仿宋"/>
          <w:sz w:val="32"/>
          <w:szCs w:val="32"/>
        </w:rPr>
        <w:t>名学生做就业、创业的培训，为学生正式就业做好心理建设同时为有创业意向的学生宣传讲解相关政策，面向</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届毕业生讲政策、讲岗位、讲求职技巧等。</w:t>
      </w:r>
      <w:r>
        <w:rPr>
          <w:rFonts w:hint="eastAsia" w:ascii="仿宋" w:hAnsi="仿宋" w:eastAsia="仿宋" w:cs="仿宋"/>
          <w:sz w:val="32"/>
          <w:szCs w:val="32"/>
          <w:lang w:val="en-US" w:eastAsia="zh-CN"/>
        </w:rPr>
        <w:t>2024年5月</w:t>
      </w:r>
      <w:r>
        <w:rPr>
          <w:rFonts w:hint="eastAsia" w:ascii="仿宋" w:hAnsi="仿宋" w:eastAsia="仿宋" w:cs="仿宋"/>
          <w:sz w:val="32"/>
          <w:szCs w:val="32"/>
          <w:lang w:eastAsia="zh-CN"/>
        </w:rPr>
        <w:t>举办就业创业培训</w:t>
      </w:r>
      <w:r>
        <w:rPr>
          <w:rFonts w:hint="eastAsia" w:ascii="仿宋" w:hAnsi="仿宋" w:eastAsia="仿宋" w:cs="仿宋"/>
          <w:sz w:val="32"/>
          <w:szCs w:val="32"/>
          <w:lang w:val="en-US" w:eastAsia="zh-CN"/>
        </w:rPr>
        <w:t>+职业技能培训的方式，为护士资格证未通过的学生进行养老护理员培训、为有需求创业的学生进行创业培训，多措并举的帮扶毕业生促就业。</w:t>
      </w:r>
      <w:r>
        <w:rPr>
          <w:rFonts w:hint="eastAsia" w:ascii="仿宋" w:hAnsi="仿宋" w:eastAsia="仿宋" w:cs="仿宋"/>
          <w:sz w:val="32"/>
          <w:szCs w:val="32"/>
        </w:rPr>
        <w:t>举办毕业生招聘会，</w:t>
      </w:r>
      <w:r>
        <w:rPr>
          <w:rFonts w:hint="eastAsia" w:ascii="仿宋" w:hAnsi="仿宋" w:eastAsia="仿宋" w:cs="仿宋"/>
          <w:sz w:val="32"/>
          <w:szCs w:val="32"/>
          <w:lang w:eastAsia="zh-CN"/>
        </w:rPr>
        <w:t>推荐就业</w:t>
      </w:r>
      <w:r>
        <w:rPr>
          <w:rFonts w:hint="eastAsia" w:ascii="仿宋" w:hAnsi="仿宋" w:eastAsia="仿宋" w:cs="仿宋"/>
          <w:sz w:val="32"/>
          <w:szCs w:val="32"/>
        </w:rPr>
        <w:t>，同时还通过发布招聘信息等方式，帮助毕业生就业</w:t>
      </w:r>
      <w:r>
        <w:rPr>
          <w:rFonts w:hint="eastAsia" w:ascii="仿宋" w:hAnsi="仿宋" w:eastAsia="仿宋" w:cs="仿宋"/>
          <w:sz w:val="32"/>
          <w:szCs w:val="32"/>
          <w:lang w:eastAsia="zh-CN"/>
        </w:rPr>
        <w:t>，</w:t>
      </w:r>
      <w:r>
        <w:rPr>
          <w:rFonts w:hint="eastAsia" w:ascii="仿宋" w:hAnsi="仿宋" w:eastAsia="仿宋" w:cs="仿宋"/>
          <w:sz w:val="32"/>
          <w:szCs w:val="32"/>
        </w:rPr>
        <w:t>为有意愿招聘的企业和学生搭建沟通的桥梁。</w:t>
      </w:r>
    </w:p>
    <w:p w14:paraId="4204B61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六、下一步工作规划</w:t>
      </w:r>
    </w:p>
    <w:p w14:paraId="1AC525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接下来我院将持续强化产教融合的教学改革与人才培养模式，继续提高政治站位、扛起肩负的责任，按照就业工作“一把手工程”的要求，全年全员抓就业、多措并举抓就业，继续从优化</w:t>
      </w:r>
      <w:r>
        <w:rPr>
          <w:rFonts w:hint="eastAsia" w:ascii="仿宋" w:hAnsi="仿宋" w:eastAsia="仿宋" w:cs="仿宋"/>
          <w:sz w:val="32"/>
          <w:szCs w:val="32"/>
        </w:rPr>
        <w:t>专业设置、</w:t>
      </w:r>
      <w:r>
        <w:rPr>
          <w:rFonts w:hint="eastAsia" w:ascii="仿宋" w:hAnsi="仿宋" w:eastAsia="仿宋" w:cs="仿宋"/>
          <w:sz w:val="32"/>
          <w:szCs w:val="32"/>
          <w:lang w:eastAsia="zh-CN"/>
        </w:rPr>
        <w:t>创新</w:t>
      </w:r>
      <w:r>
        <w:rPr>
          <w:rFonts w:hint="eastAsia" w:ascii="仿宋" w:hAnsi="仿宋" w:eastAsia="仿宋" w:cs="仿宋"/>
          <w:sz w:val="32"/>
          <w:szCs w:val="32"/>
        </w:rPr>
        <w:t>培养方式、</w:t>
      </w:r>
      <w:r>
        <w:rPr>
          <w:rFonts w:hint="eastAsia" w:ascii="仿宋" w:hAnsi="仿宋" w:eastAsia="仿宋" w:cs="仿宋"/>
          <w:sz w:val="32"/>
          <w:szCs w:val="32"/>
          <w:lang w:eastAsia="zh-CN"/>
        </w:rPr>
        <w:t>稳定实习工作、订单式培养模式、多元</w:t>
      </w:r>
      <w:r>
        <w:rPr>
          <w:rFonts w:hint="eastAsia" w:ascii="仿宋" w:hAnsi="仿宋" w:eastAsia="仿宋" w:cs="仿宋"/>
          <w:sz w:val="32"/>
          <w:szCs w:val="32"/>
        </w:rPr>
        <w:t>就业机制等方面</w:t>
      </w:r>
      <w:r>
        <w:rPr>
          <w:rFonts w:hint="eastAsia" w:ascii="仿宋" w:hAnsi="仿宋" w:eastAsia="仿宋" w:cs="仿宋"/>
          <w:sz w:val="32"/>
          <w:szCs w:val="32"/>
          <w:lang w:eastAsia="zh-CN"/>
        </w:rPr>
        <w:t>促进学生高薪就业，</w:t>
      </w:r>
      <w:r>
        <w:rPr>
          <w:rFonts w:hint="eastAsia" w:ascii="仿宋" w:hAnsi="仿宋" w:eastAsia="仿宋" w:cs="仿宋"/>
          <w:sz w:val="32"/>
          <w:szCs w:val="32"/>
          <w:lang w:val="en-US" w:eastAsia="zh-CN"/>
        </w:rPr>
        <w:t>同时强化就业与创业指导工作，尤其是为创业学生提供政策支持，提升学生创业水平和成功率，重点关注就业困难群体，建立帮扶机制，通过不同专业特点和需求的多元就业机制稳定目前的就业成绩。</w:t>
      </w:r>
    </w:p>
    <w:p w14:paraId="30BB0D50">
      <w:pPr>
        <w:keepNext w:val="0"/>
        <w:keepLines w:val="0"/>
        <w:pageBreakBefore w:val="0"/>
        <w:widowControl w:val="0"/>
        <w:kinsoku/>
        <w:wordWrap/>
        <w:overflowPunct/>
        <w:topLinePunct w:val="0"/>
        <w:bidi w:val="0"/>
        <w:adjustRightInd/>
        <w:snapToGrid/>
        <w:spacing w:line="480" w:lineRule="exact"/>
        <w:jc w:val="right"/>
        <w:rPr>
          <w:rFonts w:hint="eastAsia" w:ascii="仿宋" w:hAnsi="仿宋" w:eastAsia="仿宋" w:cs="仿宋"/>
          <w:sz w:val="32"/>
          <w:szCs w:val="32"/>
          <w:lang w:eastAsia="zh-CN"/>
        </w:rPr>
      </w:pPr>
    </w:p>
    <w:p w14:paraId="1366D91E">
      <w:pPr>
        <w:keepNext w:val="0"/>
        <w:keepLines w:val="0"/>
        <w:pageBreakBefore w:val="0"/>
        <w:widowControl w:val="0"/>
        <w:kinsoku/>
        <w:wordWrap/>
        <w:overflowPunct/>
        <w:topLinePunct w:val="0"/>
        <w:bidi w:val="0"/>
        <w:adjustRightInd/>
        <w:snapToGrid/>
        <w:spacing w:line="480" w:lineRule="exact"/>
        <w:jc w:val="right"/>
        <w:rPr>
          <w:rFonts w:hint="eastAsia" w:ascii="仿宋" w:hAnsi="仿宋" w:eastAsia="仿宋" w:cs="仿宋"/>
          <w:sz w:val="32"/>
          <w:szCs w:val="32"/>
          <w:lang w:eastAsia="zh-CN"/>
        </w:rPr>
      </w:pPr>
      <w:r>
        <w:rPr>
          <w:rFonts w:hint="eastAsia" w:ascii="仿宋" w:hAnsi="仿宋" w:eastAsia="仿宋" w:cs="仿宋"/>
          <w:sz w:val="32"/>
          <w:szCs w:val="32"/>
          <w:lang w:eastAsia="zh-CN"/>
        </w:rPr>
        <w:t>内蒙古美术职业学院</w:t>
      </w:r>
    </w:p>
    <w:p w14:paraId="51A7114F">
      <w:pPr>
        <w:keepNext w:val="0"/>
        <w:keepLines w:val="0"/>
        <w:pageBreakBefore w:val="0"/>
        <w:widowControl w:val="0"/>
        <w:kinsoku/>
        <w:wordWrap/>
        <w:overflowPunct/>
        <w:topLinePunct w:val="0"/>
        <w:bidi w:val="0"/>
        <w:adjustRightInd/>
        <w:snapToGrid/>
        <w:spacing w:line="480" w:lineRule="exact"/>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2024年12月27日</w:t>
      </w:r>
    </w:p>
    <w:p w14:paraId="2C23A30E">
      <w:pPr>
        <w:keepNext w:val="0"/>
        <w:keepLines w:val="0"/>
        <w:pageBreakBefore w:val="0"/>
        <w:widowControl w:val="0"/>
        <w:kinsoku/>
        <w:wordWrap/>
        <w:overflowPunct/>
        <w:topLinePunct w:val="0"/>
        <w:bidi w:val="0"/>
        <w:adjustRightInd/>
        <w:snapToGrid/>
        <w:spacing w:line="480" w:lineRule="exact"/>
        <w:jc w:val="both"/>
        <w:rPr>
          <w:rFonts w:hint="eastAsia" w:ascii="仿宋" w:hAnsi="仿宋" w:eastAsia="仿宋" w:cs="仿宋"/>
          <w:sz w:val="32"/>
          <w:szCs w:val="32"/>
          <w:lang w:val="en-US" w:eastAsia="zh-CN"/>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7A"/>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FC4D2">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D52B74">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D52B74">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I1ZTM0NzAyOGI0YjkyNGJkNmQ3NmE3NWEwMDc4OGUifQ=="/>
    <w:docVar w:name="KSO_WPS_MARK_KEY" w:val="64c09881-e388-453f-99a7-6a4d21cb966c"/>
  </w:docVars>
  <w:rsids>
    <w:rsidRoot w:val="00804DA6"/>
    <w:rsid w:val="000035EC"/>
    <w:rsid w:val="00005836"/>
    <w:rsid w:val="00006709"/>
    <w:rsid w:val="00020C44"/>
    <w:rsid w:val="00026160"/>
    <w:rsid w:val="00032637"/>
    <w:rsid w:val="0003696A"/>
    <w:rsid w:val="00043691"/>
    <w:rsid w:val="0005558B"/>
    <w:rsid w:val="00055C95"/>
    <w:rsid w:val="00056416"/>
    <w:rsid w:val="000617D7"/>
    <w:rsid w:val="000635A8"/>
    <w:rsid w:val="00065DF1"/>
    <w:rsid w:val="000701A3"/>
    <w:rsid w:val="000756EF"/>
    <w:rsid w:val="00080A0F"/>
    <w:rsid w:val="000832F9"/>
    <w:rsid w:val="00083C04"/>
    <w:rsid w:val="000905A7"/>
    <w:rsid w:val="00090DD2"/>
    <w:rsid w:val="00094376"/>
    <w:rsid w:val="00097013"/>
    <w:rsid w:val="000A0136"/>
    <w:rsid w:val="000A43F3"/>
    <w:rsid w:val="000A6094"/>
    <w:rsid w:val="000B115E"/>
    <w:rsid w:val="000B15AD"/>
    <w:rsid w:val="000C480E"/>
    <w:rsid w:val="000C56D9"/>
    <w:rsid w:val="000D1F28"/>
    <w:rsid w:val="000D30E6"/>
    <w:rsid w:val="000D421D"/>
    <w:rsid w:val="000D7A44"/>
    <w:rsid w:val="000F4129"/>
    <w:rsid w:val="001058C7"/>
    <w:rsid w:val="00107664"/>
    <w:rsid w:val="00111C6F"/>
    <w:rsid w:val="00117522"/>
    <w:rsid w:val="00120988"/>
    <w:rsid w:val="00151937"/>
    <w:rsid w:val="0016384A"/>
    <w:rsid w:val="00182E75"/>
    <w:rsid w:val="0018677C"/>
    <w:rsid w:val="0019160D"/>
    <w:rsid w:val="00192FD3"/>
    <w:rsid w:val="001949ED"/>
    <w:rsid w:val="00197604"/>
    <w:rsid w:val="001A79DE"/>
    <w:rsid w:val="001B0EF2"/>
    <w:rsid w:val="001C29D0"/>
    <w:rsid w:val="001D3DF5"/>
    <w:rsid w:val="001D6E22"/>
    <w:rsid w:val="001E0A00"/>
    <w:rsid w:val="001E2950"/>
    <w:rsid w:val="001E3127"/>
    <w:rsid w:val="00205678"/>
    <w:rsid w:val="00210BC1"/>
    <w:rsid w:val="0021143A"/>
    <w:rsid w:val="0021611F"/>
    <w:rsid w:val="00216640"/>
    <w:rsid w:val="002209A2"/>
    <w:rsid w:val="00241FAD"/>
    <w:rsid w:val="00244E7A"/>
    <w:rsid w:val="0025615F"/>
    <w:rsid w:val="00266627"/>
    <w:rsid w:val="00267762"/>
    <w:rsid w:val="00267A2F"/>
    <w:rsid w:val="00267CEA"/>
    <w:rsid w:val="002727D7"/>
    <w:rsid w:val="002756B1"/>
    <w:rsid w:val="0027694C"/>
    <w:rsid w:val="00285F92"/>
    <w:rsid w:val="0029676A"/>
    <w:rsid w:val="002A2D70"/>
    <w:rsid w:val="002B1484"/>
    <w:rsid w:val="002B34CC"/>
    <w:rsid w:val="002C27F8"/>
    <w:rsid w:val="002D1476"/>
    <w:rsid w:val="002E00EB"/>
    <w:rsid w:val="002E2E2C"/>
    <w:rsid w:val="002F0F2B"/>
    <w:rsid w:val="002F12E7"/>
    <w:rsid w:val="002F3DBA"/>
    <w:rsid w:val="002F46AE"/>
    <w:rsid w:val="003028B7"/>
    <w:rsid w:val="003052CD"/>
    <w:rsid w:val="003171B2"/>
    <w:rsid w:val="00317F61"/>
    <w:rsid w:val="003245E1"/>
    <w:rsid w:val="00324A01"/>
    <w:rsid w:val="003300B0"/>
    <w:rsid w:val="00353E0E"/>
    <w:rsid w:val="00375704"/>
    <w:rsid w:val="0038067D"/>
    <w:rsid w:val="003811DC"/>
    <w:rsid w:val="00390132"/>
    <w:rsid w:val="00392F52"/>
    <w:rsid w:val="00394E66"/>
    <w:rsid w:val="003A2BBB"/>
    <w:rsid w:val="003B047E"/>
    <w:rsid w:val="003B1C81"/>
    <w:rsid w:val="003B5966"/>
    <w:rsid w:val="003C008B"/>
    <w:rsid w:val="003C481D"/>
    <w:rsid w:val="003D0A80"/>
    <w:rsid w:val="003D3691"/>
    <w:rsid w:val="003D3E74"/>
    <w:rsid w:val="003D4B63"/>
    <w:rsid w:val="003E7FE7"/>
    <w:rsid w:val="003F416E"/>
    <w:rsid w:val="004004B9"/>
    <w:rsid w:val="004131A9"/>
    <w:rsid w:val="004358C8"/>
    <w:rsid w:val="00440AC0"/>
    <w:rsid w:val="0044794A"/>
    <w:rsid w:val="0046168A"/>
    <w:rsid w:val="00463609"/>
    <w:rsid w:val="00492D78"/>
    <w:rsid w:val="004A2118"/>
    <w:rsid w:val="004A5260"/>
    <w:rsid w:val="004A5B07"/>
    <w:rsid w:val="004A60B6"/>
    <w:rsid w:val="004B111D"/>
    <w:rsid w:val="004C2458"/>
    <w:rsid w:val="004C5EA3"/>
    <w:rsid w:val="004D30DA"/>
    <w:rsid w:val="004E3193"/>
    <w:rsid w:val="004E46B9"/>
    <w:rsid w:val="004F0BD2"/>
    <w:rsid w:val="004F54D0"/>
    <w:rsid w:val="004F5595"/>
    <w:rsid w:val="00507704"/>
    <w:rsid w:val="00511399"/>
    <w:rsid w:val="00527E40"/>
    <w:rsid w:val="00542F12"/>
    <w:rsid w:val="0056058B"/>
    <w:rsid w:val="005638DA"/>
    <w:rsid w:val="00566302"/>
    <w:rsid w:val="00570489"/>
    <w:rsid w:val="005716D5"/>
    <w:rsid w:val="005723EB"/>
    <w:rsid w:val="00575D85"/>
    <w:rsid w:val="00586555"/>
    <w:rsid w:val="0059505C"/>
    <w:rsid w:val="005A1772"/>
    <w:rsid w:val="005B13EB"/>
    <w:rsid w:val="005B6295"/>
    <w:rsid w:val="005B734F"/>
    <w:rsid w:val="005C4EEB"/>
    <w:rsid w:val="005E52AE"/>
    <w:rsid w:val="005F4882"/>
    <w:rsid w:val="005F73CE"/>
    <w:rsid w:val="00607CCE"/>
    <w:rsid w:val="006104B1"/>
    <w:rsid w:val="00610A9C"/>
    <w:rsid w:val="00620EE1"/>
    <w:rsid w:val="00622318"/>
    <w:rsid w:val="0064007C"/>
    <w:rsid w:val="00644FB4"/>
    <w:rsid w:val="0067088B"/>
    <w:rsid w:val="006748ED"/>
    <w:rsid w:val="00683375"/>
    <w:rsid w:val="006920ED"/>
    <w:rsid w:val="00694621"/>
    <w:rsid w:val="00696C3B"/>
    <w:rsid w:val="006A0977"/>
    <w:rsid w:val="006A7D8E"/>
    <w:rsid w:val="006B12E3"/>
    <w:rsid w:val="006C365E"/>
    <w:rsid w:val="006C3F94"/>
    <w:rsid w:val="006D2A08"/>
    <w:rsid w:val="006D415D"/>
    <w:rsid w:val="006D4916"/>
    <w:rsid w:val="006E0317"/>
    <w:rsid w:val="006E24C7"/>
    <w:rsid w:val="006E545E"/>
    <w:rsid w:val="00701140"/>
    <w:rsid w:val="007028E1"/>
    <w:rsid w:val="00702BD9"/>
    <w:rsid w:val="007054EC"/>
    <w:rsid w:val="00707535"/>
    <w:rsid w:val="00712015"/>
    <w:rsid w:val="00724BCC"/>
    <w:rsid w:val="00724D9C"/>
    <w:rsid w:val="007440FE"/>
    <w:rsid w:val="00747DC4"/>
    <w:rsid w:val="00770525"/>
    <w:rsid w:val="0077091A"/>
    <w:rsid w:val="007820FE"/>
    <w:rsid w:val="00794DB9"/>
    <w:rsid w:val="007A256A"/>
    <w:rsid w:val="007A320D"/>
    <w:rsid w:val="007A43BD"/>
    <w:rsid w:val="007B6E29"/>
    <w:rsid w:val="007B6FF4"/>
    <w:rsid w:val="007B75AA"/>
    <w:rsid w:val="007B79DA"/>
    <w:rsid w:val="007C444B"/>
    <w:rsid w:val="007C672C"/>
    <w:rsid w:val="007C7155"/>
    <w:rsid w:val="007D7886"/>
    <w:rsid w:val="007E055F"/>
    <w:rsid w:val="007E0EA6"/>
    <w:rsid w:val="007F303E"/>
    <w:rsid w:val="007F4431"/>
    <w:rsid w:val="007F5B4B"/>
    <w:rsid w:val="007F5EED"/>
    <w:rsid w:val="007F7F31"/>
    <w:rsid w:val="00804DA6"/>
    <w:rsid w:val="0080775D"/>
    <w:rsid w:val="008107C0"/>
    <w:rsid w:val="008146CE"/>
    <w:rsid w:val="008225B5"/>
    <w:rsid w:val="00823C00"/>
    <w:rsid w:val="00826B76"/>
    <w:rsid w:val="00832A69"/>
    <w:rsid w:val="00836307"/>
    <w:rsid w:val="008366F0"/>
    <w:rsid w:val="008451F2"/>
    <w:rsid w:val="008531BF"/>
    <w:rsid w:val="008578A1"/>
    <w:rsid w:val="00865B50"/>
    <w:rsid w:val="0087213A"/>
    <w:rsid w:val="00873BD1"/>
    <w:rsid w:val="008762FC"/>
    <w:rsid w:val="00881406"/>
    <w:rsid w:val="0088380D"/>
    <w:rsid w:val="00887CA8"/>
    <w:rsid w:val="008B1AF7"/>
    <w:rsid w:val="008B4553"/>
    <w:rsid w:val="008C06E3"/>
    <w:rsid w:val="008D636D"/>
    <w:rsid w:val="008F2E89"/>
    <w:rsid w:val="008F725B"/>
    <w:rsid w:val="00904566"/>
    <w:rsid w:val="009079B4"/>
    <w:rsid w:val="00924D60"/>
    <w:rsid w:val="00927EE7"/>
    <w:rsid w:val="00931C5A"/>
    <w:rsid w:val="009335E2"/>
    <w:rsid w:val="00933897"/>
    <w:rsid w:val="009610A1"/>
    <w:rsid w:val="0097194A"/>
    <w:rsid w:val="0099174E"/>
    <w:rsid w:val="00994E7B"/>
    <w:rsid w:val="009A29CC"/>
    <w:rsid w:val="009B0700"/>
    <w:rsid w:val="009B5C3D"/>
    <w:rsid w:val="009B7203"/>
    <w:rsid w:val="009D071C"/>
    <w:rsid w:val="009D4094"/>
    <w:rsid w:val="009D671F"/>
    <w:rsid w:val="009E58F0"/>
    <w:rsid w:val="00A06498"/>
    <w:rsid w:val="00A238A1"/>
    <w:rsid w:val="00A30904"/>
    <w:rsid w:val="00A33731"/>
    <w:rsid w:val="00A353B9"/>
    <w:rsid w:val="00A36F10"/>
    <w:rsid w:val="00A3771C"/>
    <w:rsid w:val="00A41256"/>
    <w:rsid w:val="00A4704D"/>
    <w:rsid w:val="00A508DF"/>
    <w:rsid w:val="00A73557"/>
    <w:rsid w:val="00A90089"/>
    <w:rsid w:val="00A931C7"/>
    <w:rsid w:val="00A93B63"/>
    <w:rsid w:val="00A95A88"/>
    <w:rsid w:val="00AA1E91"/>
    <w:rsid w:val="00AB461B"/>
    <w:rsid w:val="00AC1C74"/>
    <w:rsid w:val="00AC3825"/>
    <w:rsid w:val="00AC3A15"/>
    <w:rsid w:val="00AC5215"/>
    <w:rsid w:val="00AD08C8"/>
    <w:rsid w:val="00AF73AB"/>
    <w:rsid w:val="00AF78F9"/>
    <w:rsid w:val="00B22403"/>
    <w:rsid w:val="00B25073"/>
    <w:rsid w:val="00B33524"/>
    <w:rsid w:val="00B3525C"/>
    <w:rsid w:val="00B36137"/>
    <w:rsid w:val="00B5519D"/>
    <w:rsid w:val="00B556E5"/>
    <w:rsid w:val="00B7198C"/>
    <w:rsid w:val="00B72EDE"/>
    <w:rsid w:val="00B733DA"/>
    <w:rsid w:val="00B76D2F"/>
    <w:rsid w:val="00B865BE"/>
    <w:rsid w:val="00BA2FC8"/>
    <w:rsid w:val="00BA5106"/>
    <w:rsid w:val="00BB0B75"/>
    <w:rsid w:val="00BB2016"/>
    <w:rsid w:val="00BB497D"/>
    <w:rsid w:val="00BC558C"/>
    <w:rsid w:val="00BD18A6"/>
    <w:rsid w:val="00BD420E"/>
    <w:rsid w:val="00BE2D3A"/>
    <w:rsid w:val="00BF7A6D"/>
    <w:rsid w:val="00C009F5"/>
    <w:rsid w:val="00C0248C"/>
    <w:rsid w:val="00C037FD"/>
    <w:rsid w:val="00C110AB"/>
    <w:rsid w:val="00C263EF"/>
    <w:rsid w:val="00C33457"/>
    <w:rsid w:val="00C33FAF"/>
    <w:rsid w:val="00C342E2"/>
    <w:rsid w:val="00C35FA8"/>
    <w:rsid w:val="00C445AE"/>
    <w:rsid w:val="00C503E2"/>
    <w:rsid w:val="00C53B60"/>
    <w:rsid w:val="00C54F97"/>
    <w:rsid w:val="00C56C52"/>
    <w:rsid w:val="00C64A64"/>
    <w:rsid w:val="00C65652"/>
    <w:rsid w:val="00C674C9"/>
    <w:rsid w:val="00C86A8E"/>
    <w:rsid w:val="00C87415"/>
    <w:rsid w:val="00C90839"/>
    <w:rsid w:val="00C9346A"/>
    <w:rsid w:val="00CB0B01"/>
    <w:rsid w:val="00CB4B45"/>
    <w:rsid w:val="00CB6E67"/>
    <w:rsid w:val="00CB780B"/>
    <w:rsid w:val="00CB79C5"/>
    <w:rsid w:val="00CC7EF7"/>
    <w:rsid w:val="00CD20BB"/>
    <w:rsid w:val="00CD2A4C"/>
    <w:rsid w:val="00CE0AD5"/>
    <w:rsid w:val="00CE18ED"/>
    <w:rsid w:val="00CE3118"/>
    <w:rsid w:val="00CF1832"/>
    <w:rsid w:val="00CF1FBE"/>
    <w:rsid w:val="00D004C1"/>
    <w:rsid w:val="00D02BDB"/>
    <w:rsid w:val="00D1027E"/>
    <w:rsid w:val="00D12011"/>
    <w:rsid w:val="00D15B12"/>
    <w:rsid w:val="00D24083"/>
    <w:rsid w:val="00D41678"/>
    <w:rsid w:val="00D42857"/>
    <w:rsid w:val="00D45274"/>
    <w:rsid w:val="00D60645"/>
    <w:rsid w:val="00D61619"/>
    <w:rsid w:val="00D652F9"/>
    <w:rsid w:val="00D671F6"/>
    <w:rsid w:val="00D7111A"/>
    <w:rsid w:val="00D757E1"/>
    <w:rsid w:val="00D97357"/>
    <w:rsid w:val="00DB0363"/>
    <w:rsid w:val="00DC624B"/>
    <w:rsid w:val="00DC7093"/>
    <w:rsid w:val="00DE586F"/>
    <w:rsid w:val="00DF42BB"/>
    <w:rsid w:val="00DF6574"/>
    <w:rsid w:val="00E025CE"/>
    <w:rsid w:val="00E034BB"/>
    <w:rsid w:val="00E10FDC"/>
    <w:rsid w:val="00E14110"/>
    <w:rsid w:val="00E17A28"/>
    <w:rsid w:val="00E50966"/>
    <w:rsid w:val="00E52DCB"/>
    <w:rsid w:val="00E61EE6"/>
    <w:rsid w:val="00E73B91"/>
    <w:rsid w:val="00E76A13"/>
    <w:rsid w:val="00E84B5A"/>
    <w:rsid w:val="00E85F5E"/>
    <w:rsid w:val="00E86644"/>
    <w:rsid w:val="00E913C3"/>
    <w:rsid w:val="00EA1623"/>
    <w:rsid w:val="00EA3C01"/>
    <w:rsid w:val="00EB110B"/>
    <w:rsid w:val="00EB62D7"/>
    <w:rsid w:val="00EC187D"/>
    <w:rsid w:val="00EC7E7C"/>
    <w:rsid w:val="00ED18AD"/>
    <w:rsid w:val="00ED425D"/>
    <w:rsid w:val="00ED48C9"/>
    <w:rsid w:val="00ED4E5B"/>
    <w:rsid w:val="00EE0B91"/>
    <w:rsid w:val="00EE173F"/>
    <w:rsid w:val="00EE2856"/>
    <w:rsid w:val="00EE5570"/>
    <w:rsid w:val="00EF18FE"/>
    <w:rsid w:val="00EF6757"/>
    <w:rsid w:val="00F053E7"/>
    <w:rsid w:val="00F12D36"/>
    <w:rsid w:val="00F24664"/>
    <w:rsid w:val="00F26F52"/>
    <w:rsid w:val="00F30D72"/>
    <w:rsid w:val="00F31E01"/>
    <w:rsid w:val="00F33565"/>
    <w:rsid w:val="00F50D2F"/>
    <w:rsid w:val="00F514FC"/>
    <w:rsid w:val="00F55BD1"/>
    <w:rsid w:val="00F55BEC"/>
    <w:rsid w:val="00F57493"/>
    <w:rsid w:val="00F60EFF"/>
    <w:rsid w:val="00F917BB"/>
    <w:rsid w:val="00F924A3"/>
    <w:rsid w:val="00FB1A07"/>
    <w:rsid w:val="00FB28C9"/>
    <w:rsid w:val="00FC05B5"/>
    <w:rsid w:val="00FC0B7C"/>
    <w:rsid w:val="00FC0DCB"/>
    <w:rsid w:val="00FE5682"/>
    <w:rsid w:val="00FF6988"/>
    <w:rsid w:val="04941692"/>
    <w:rsid w:val="0B7A5D1D"/>
    <w:rsid w:val="0FD20872"/>
    <w:rsid w:val="117862AA"/>
    <w:rsid w:val="19FB553E"/>
    <w:rsid w:val="1FFF3CB7"/>
    <w:rsid w:val="2D3D1FD3"/>
    <w:rsid w:val="2F907D66"/>
    <w:rsid w:val="3676374D"/>
    <w:rsid w:val="37C72F65"/>
    <w:rsid w:val="48181C10"/>
    <w:rsid w:val="50C05CC3"/>
    <w:rsid w:val="554D22D9"/>
    <w:rsid w:val="61A7583F"/>
    <w:rsid w:val="694C5E81"/>
    <w:rsid w:val="69807E63"/>
    <w:rsid w:val="6E73009C"/>
    <w:rsid w:val="7A643E1C"/>
    <w:rsid w:val="7F4855C0"/>
    <w:rsid w:val="8DCB8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4"/>
      <w:szCs w:val="22"/>
      <w:lang w:val="en-US" w:eastAsia="zh-CN" w:bidi="ar-SA"/>
    </w:rPr>
  </w:style>
  <w:style w:type="paragraph" w:styleId="2">
    <w:name w:val="heading 1"/>
    <w:basedOn w:val="1"/>
    <w:next w:val="1"/>
    <w:link w:val="19"/>
    <w:qFormat/>
    <w:uiPriority w:val="9"/>
    <w:pPr>
      <w:keepNext/>
      <w:keepLines/>
      <w:outlineLvl w:val="0"/>
    </w:pPr>
    <w:rPr>
      <w:b/>
      <w:bCs/>
      <w:kern w:val="44"/>
      <w:szCs w:val="44"/>
    </w:rPr>
  </w:style>
  <w:style w:type="paragraph" w:styleId="3">
    <w:name w:val="heading 2"/>
    <w:basedOn w:val="1"/>
    <w:next w:val="1"/>
    <w:link w:val="20"/>
    <w:unhideWhenUsed/>
    <w:qFormat/>
    <w:uiPriority w:val="9"/>
    <w:pPr>
      <w:keepNext/>
      <w:keepLines/>
      <w:outlineLvl w:val="1"/>
    </w:pPr>
    <w:rPr>
      <w:rFonts w:asciiTheme="majorHAnsi" w:hAnsiTheme="majorHAnsi" w:eastAsiaTheme="majorEastAsia" w:cstheme="majorBidi"/>
      <w:b/>
      <w:bCs/>
      <w:szCs w:val="32"/>
    </w:rPr>
  </w:style>
  <w:style w:type="paragraph" w:styleId="4">
    <w:name w:val="heading 3"/>
    <w:basedOn w:val="1"/>
    <w:next w:val="1"/>
    <w:link w:val="21"/>
    <w:unhideWhenUsed/>
    <w:qFormat/>
    <w:uiPriority w:val="9"/>
    <w:pPr>
      <w:keepNext/>
      <w:keepLines/>
      <w:outlineLvl w:val="2"/>
    </w:pPr>
    <w:rPr>
      <w:b/>
      <w:bCs/>
      <w:szCs w:val="32"/>
    </w:rPr>
  </w:style>
  <w:style w:type="paragraph" w:styleId="5">
    <w:name w:val="heading 4"/>
    <w:basedOn w:val="1"/>
    <w:next w:val="1"/>
    <w:link w:val="30"/>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6"/>
    <w:unhideWhenUsed/>
    <w:qFormat/>
    <w:uiPriority w:val="99"/>
    <w:pPr>
      <w:jc w:val="left"/>
    </w:pPr>
  </w:style>
  <w:style w:type="paragraph" w:styleId="7">
    <w:name w:val="Body Text"/>
    <w:basedOn w:val="1"/>
    <w:qFormat/>
    <w:uiPriority w:val="0"/>
    <w:pPr>
      <w:autoSpaceDE w:val="0"/>
      <w:autoSpaceDN w:val="0"/>
      <w:spacing w:line="400" w:lineRule="exact"/>
      <w:ind w:left="318" w:firstLine="200" w:firstLineChars="200"/>
    </w:pPr>
    <w:rPr>
      <w:rFonts w:ascii="宋体" w:hAnsi="宋体" w:eastAsia="宋体" w:cs="宋体"/>
      <w:kern w:val="0"/>
      <w:sz w:val="24"/>
      <w:lang w:val="zh-CN" w:bidi="zh-CN"/>
    </w:rPr>
  </w:style>
  <w:style w:type="paragraph" w:styleId="8">
    <w:name w:val="Date"/>
    <w:basedOn w:val="1"/>
    <w:next w:val="1"/>
    <w:link w:val="18"/>
    <w:unhideWhenUsed/>
    <w:qFormat/>
    <w:uiPriority w:val="99"/>
    <w:pPr>
      <w:ind w:left="100" w:leftChars="2500"/>
    </w:pPr>
  </w:style>
  <w:style w:type="paragraph" w:styleId="9">
    <w:name w:val="Balloon Text"/>
    <w:basedOn w:val="1"/>
    <w:link w:val="38"/>
    <w:unhideWhenUsed/>
    <w:qFormat/>
    <w:uiPriority w:val="99"/>
    <w:pPr>
      <w:spacing w:line="240" w:lineRule="auto"/>
    </w:pPr>
    <w:rPr>
      <w:sz w:val="18"/>
      <w:szCs w:val="18"/>
    </w:rPr>
  </w:style>
  <w:style w:type="paragraph" w:styleId="10">
    <w:name w:val="footer"/>
    <w:basedOn w:val="1"/>
    <w:link w:val="29"/>
    <w:unhideWhenUsed/>
    <w:qFormat/>
    <w:uiPriority w:val="99"/>
    <w:pPr>
      <w:tabs>
        <w:tab w:val="center" w:pos="4153"/>
        <w:tab w:val="right" w:pos="8306"/>
      </w:tabs>
      <w:snapToGrid w:val="0"/>
      <w:spacing w:line="240" w:lineRule="auto"/>
      <w:jc w:val="left"/>
    </w:pPr>
    <w:rPr>
      <w:sz w:val="18"/>
      <w:szCs w:val="18"/>
    </w:rPr>
  </w:style>
  <w:style w:type="paragraph" w:styleId="11">
    <w:name w:val="header"/>
    <w:basedOn w:val="1"/>
    <w:link w:val="2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2">
    <w:name w:val="Title"/>
    <w:basedOn w:val="1"/>
    <w:next w:val="1"/>
    <w:qFormat/>
    <w:uiPriority w:val="0"/>
    <w:pPr>
      <w:spacing w:before="240" w:after="60"/>
      <w:jc w:val="center"/>
      <w:outlineLvl w:val="0"/>
    </w:pPr>
    <w:rPr>
      <w:rFonts w:ascii="Cambria" w:hAnsi="Cambria"/>
      <w:b/>
      <w:bCs/>
      <w:sz w:val="32"/>
      <w:szCs w:val="32"/>
    </w:rPr>
  </w:style>
  <w:style w:type="paragraph" w:styleId="13">
    <w:name w:val="annotation subject"/>
    <w:basedOn w:val="6"/>
    <w:next w:val="6"/>
    <w:link w:val="37"/>
    <w:unhideWhenUsed/>
    <w:qFormat/>
    <w:uiPriority w:val="99"/>
    <w:rPr>
      <w:b/>
      <w:bCs/>
    </w:rPr>
  </w:style>
  <w:style w:type="character" w:styleId="16">
    <w:name w:val="Strong"/>
    <w:qFormat/>
    <w:uiPriority w:val="22"/>
    <w:rPr>
      <w:b/>
      <w:bCs/>
    </w:rPr>
  </w:style>
  <w:style w:type="character" w:styleId="17">
    <w:name w:val="annotation reference"/>
    <w:basedOn w:val="15"/>
    <w:unhideWhenUsed/>
    <w:qFormat/>
    <w:uiPriority w:val="99"/>
    <w:rPr>
      <w:sz w:val="21"/>
      <w:szCs w:val="21"/>
    </w:rPr>
  </w:style>
  <w:style w:type="character" w:customStyle="1" w:styleId="18">
    <w:name w:val="日期 字符"/>
    <w:basedOn w:val="15"/>
    <w:link w:val="8"/>
    <w:semiHidden/>
    <w:qFormat/>
    <w:uiPriority w:val="99"/>
  </w:style>
  <w:style w:type="character" w:customStyle="1" w:styleId="19">
    <w:name w:val="标题 1 字符"/>
    <w:basedOn w:val="15"/>
    <w:link w:val="2"/>
    <w:qFormat/>
    <w:uiPriority w:val="9"/>
    <w:rPr>
      <w:b/>
      <w:bCs/>
      <w:kern w:val="44"/>
      <w:sz w:val="24"/>
      <w:szCs w:val="44"/>
    </w:rPr>
  </w:style>
  <w:style w:type="character" w:customStyle="1" w:styleId="20">
    <w:name w:val="标题 2 字符"/>
    <w:basedOn w:val="15"/>
    <w:link w:val="3"/>
    <w:qFormat/>
    <w:uiPriority w:val="9"/>
    <w:rPr>
      <w:rFonts w:asciiTheme="majorHAnsi" w:hAnsiTheme="majorHAnsi" w:eastAsiaTheme="majorEastAsia" w:cstheme="majorBidi"/>
      <w:b/>
      <w:bCs/>
      <w:sz w:val="24"/>
      <w:szCs w:val="32"/>
    </w:rPr>
  </w:style>
  <w:style w:type="character" w:customStyle="1" w:styleId="21">
    <w:name w:val="标题 3 字符"/>
    <w:basedOn w:val="15"/>
    <w:link w:val="4"/>
    <w:qFormat/>
    <w:uiPriority w:val="9"/>
    <w:rPr>
      <w:b/>
      <w:bCs/>
      <w:sz w:val="24"/>
      <w:szCs w:val="32"/>
    </w:rPr>
  </w:style>
  <w:style w:type="paragraph" w:customStyle="1" w:styleId="22">
    <w:name w:val="msonorm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style12"/>
    <w:basedOn w:val="1"/>
    <w:qFormat/>
    <w:uiPriority w:val="0"/>
    <w:pPr>
      <w:widowControl/>
      <w:spacing w:before="100" w:beforeAutospacing="1" w:after="100" w:afterAutospacing="1"/>
      <w:jc w:val="left"/>
    </w:pPr>
    <w:rPr>
      <w:rFonts w:ascii="宋体" w:hAnsi="宋体" w:eastAsia="宋体" w:cs="宋体"/>
      <w:kern w:val="0"/>
      <w:szCs w:val="21"/>
    </w:rPr>
  </w:style>
  <w:style w:type="table" w:customStyle="1" w:styleId="24">
    <w:name w:val="清单表 4 - 着色 11"/>
    <w:basedOn w:val="14"/>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tcBorders>
        <w:shd w:val="clear" w:color="auto" w:fill="5B9BD5" w:themeFill="accent1"/>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25">
    <w:name w:val="网格表 4 - 着色 11"/>
    <w:basedOn w:val="14"/>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26">
    <w:name w:val="网格表 4 - 着色 51"/>
    <w:basedOn w:val="14"/>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27">
    <w:name w:val="网格表 4 - 着色 61"/>
    <w:basedOn w:val="14"/>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character" w:customStyle="1" w:styleId="28">
    <w:name w:val="页眉 字符"/>
    <w:basedOn w:val="15"/>
    <w:link w:val="11"/>
    <w:qFormat/>
    <w:uiPriority w:val="99"/>
    <w:rPr>
      <w:sz w:val="18"/>
      <w:szCs w:val="18"/>
    </w:rPr>
  </w:style>
  <w:style w:type="character" w:customStyle="1" w:styleId="29">
    <w:name w:val="页脚 字符"/>
    <w:basedOn w:val="15"/>
    <w:link w:val="10"/>
    <w:qFormat/>
    <w:uiPriority w:val="99"/>
    <w:rPr>
      <w:sz w:val="18"/>
      <w:szCs w:val="18"/>
    </w:rPr>
  </w:style>
  <w:style w:type="character" w:customStyle="1" w:styleId="30">
    <w:name w:val="标题 4 字符"/>
    <w:basedOn w:val="15"/>
    <w:link w:val="5"/>
    <w:qFormat/>
    <w:uiPriority w:val="9"/>
    <w:rPr>
      <w:rFonts w:asciiTheme="majorHAnsi" w:hAnsiTheme="majorHAnsi" w:eastAsiaTheme="majorEastAsia" w:cstheme="majorBidi"/>
      <w:b/>
      <w:bCs/>
      <w:sz w:val="28"/>
      <w:szCs w:val="28"/>
    </w:rPr>
  </w:style>
  <w:style w:type="paragraph" w:customStyle="1" w:styleId="31">
    <w:name w:val="A正文"/>
    <w:basedOn w:val="1"/>
    <w:link w:val="32"/>
    <w:qFormat/>
    <w:uiPriority w:val="0"/>
    <w:pPr>
      <w:widowControl/>
      <w:ind w:firstLine="200" w:firstLineChars="200"/>
    </w:pPr>
    <w:rPr>
      <w:rFonts w:ascii="Times New Roman" w:hAnsi="Times New Roman" w:eastAsia="宋体"/>
      <w:color w:val="000000"/>
      <w:kern w:val="0"/>
      <w:szCs w:val="24"/>
    </w:rPr>
  </w:style>
  <w:style w:type="character" w:customStyle="1" w:styleId="32">
    <w:name w:val="A正文 Char"/>
    <w:basedOn w:val="15"/>
    <w:link w:val="31"/>
    <w:qFormat/>
    <w:uiPriority w:val="0"/>
    <w:rPr>
      <w:rFonts w:ascii="Times New Roman" w:hAnsi="Times New Roman" w:eastAsia="宋体"/>
      <w:color w:val="000000"/>
      <w:kern w:val="0"/>
      <w:sz w:val="24"/>
      <w:szCs w:val="24"/>
    </w:rPr>
  </w:style>
  <w:style w:type="paragraph" w:customStyle="1" w:styleId="33">
    <w:name w:val="A图表标题"/>
    <w:basedOn w:val="1"/>
    <w:link w:val="34"/>
    <w:qFormat/>
    <w:uiPriority w:val="0"/>
    <w:pPr>
      <w:widowControl/>
      <w:spacing w:before="50" w:beforeLines="50" w:after="50" w:afterLines="50"/>
      <w:jc w:val="center"/>
    </w:pPr>
    <w:rPr>
      <w:rFonts w:ascii="黑体" w:hAnsi="黑体" w:eastAsia="黑体" w:cs="Times New Roman"/>
      <w:b/>
      <w:caps/>
      <w:color w:val="5B9BD5" w:themeColor="accent1"/>
      <w:kern w:val="0"/>
      <w:sz w:val="21"/>
      <w:szCs w:val="36"/>
      <w:lang w:val="zh-CN"/>
      <w14:textFill>
        <w14:solidFill>
          <w14:schemeClr w14:val="accent1"/>
        </w14:solidFill>
      </w14:textFill>
    </w:rPr>
  </w:style>
  <w:style w:type="character" w:customStyle="1" w:styleId="34">
    <w:name w:val="A图表标题 Char"/>
    <w:basedOn w:val="15"/>
    <w:link w:val="33"/>
    <w:qFormat/>
    <w:uiPriority w:val="0"/>
    <w:rPr>
      <w:rFonts w:ascii="黑体" w:hAnsi="黑体" w:eastAsia="黑体" w:cs="Times New Roman"/>
      <w:b/>
      <w:caps/>
      <w:color w:val="5B9BD5" w:themeColor="accent1"/>
      <w:kern w:val="0"/>
      <w:szCs w:val="36"/>
      <w:lang w:val="zh-CN"/>
      <w14:textFill>
        <w14:solidFill>
          <w14:schemeClr w14:val="accent1"/>
        </w14:solidFill>
      </w14:textFill>
    </w:rPr>
  </w:style>
  <w:style w:type="table" w:customStyle="1" w:styleId="35">
    <w:name w:val="网格表 5 深色 - 着色 61"/>
    <w:basedOn w:val="14"/>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cPr>
        <w:shd w:val="clear" w:color="auto" w:fill="C5E0B3" w:themeFill="accent6" w:themeFillTint="66"/>
      </w:tcPr>
    </w:tblStylePr>
    <w:tblStylePr w:type="band1Horz">
      <w:tcPr>
        <w:shd w:val="clear" w:color="auto" w:fill="C5E0B3" w:themeFill="accent6" w:themeFillTint="66"/>
      </w:tcPr>
    </w:tblStylePr>
  </w:style>
  <w:style w:type="character" w:customStyle="1" w:styleId="36">
    <w:name w:val="批注文字 字符"/>
    <w:basedOn w:val="15"/>
    <w:link w:val="6"/>
    <w:semiHidden/>
    <w:qFormat/>
    <w:uiPriority w:val="99"/>
    <w:rPr>
      <w:sz w:val="24"/>
    </w:rPr>
  </w:style>
  <w:style w:type="character" w:customStyle="1" w:styleId="37">
    <w:name w:val="批注主题 字符"/>
    <w:basedOn w:val="36"/>
    <w:link w:val="13"/>
    <w:semiHidden/>
    <w:qFormat/>
    <w:uiPriority w:val="99"/>
    <w:rPr>
      <w:b/>
      <w:bCs/>
      <w:sz w:val="24"/>
    </w:rPr>
  </w:style>
  <w:style w:type="character" w:customStyle="1" w:styleId="38">
    <w:name w:val="批注框文本 字符"/>
    <w:basedOn w:val="15"/>
    <w:link w:val="9"/>
    <w:semiHidden/>
    <w:qFormat/>
    <w:uiPriority w:val="99"/>
    <w:rPr>
      <w:sz w:val="18"/>
      <w:szCs w:val="18"/>
    </w:rPr>
  </w:style>
  <w:style w:type="paragraph" w:customStyle="1" w:styleId="39">
    <w:name w:val="列表段落1"/>
    <w:basedOn w:val="1"/>
    <w:qFormat/>
    <w:uiPriority w:val="34"/>
    <w:pPr>
      <w:ind w:firstLine="420" w:firstLineChars="200"/>
    </w:pPr>
  </w:style>
  <w:style w:type="paragraph" w:customStyle="1" w:styleId="40">
    <w:name w:val="表格"/>
    <w:basedOn w:val="1"/>
    <w:qFormat/>
    <w:uiPriority w:val="0"/>
    <w:pPr>
      <w:autoSpaceDE w:val="0"/>
      <w:autoSpaceDN w:val="0"/>
      <w:jc w:val="center"/>
      <w:textAlignment w:val="baseline"/>
    </w:pPr>
    <w:rPr>
      <w:rFonts w:ascii="楷体_GB2312" w:hAnsi="楷体_GB2312" w:eastAsia="楷体_GB2312" w:cs="Times New Roman"/>
      <w:color w:val="000000"/>
      <w:kern w:val="0"/>
      <w:szCs w:val="24"/>
    </w:rPr>
  </w:style>
  <w:style w:type="paragraph" w:customStyle="1" w:styleId="41">
    <w:name w:val="MycosHeader4"/>
    <w:basedOn w:val="4"/>
    <w:qFormat/>
    <w:uiPriority w:val="0"/>
    <w:pPr>
      <w:tabs>
        <w:tab w:val="left" w:pos="0"/>
      </w:tabs>
    </w:pPr>
    <w:rPr>
      <w:rFonts w:ascii="Calibri" w:hAnsi="Calibri" w:cs="Calibri"/>
    </w:rPr>
  </w:style>
  <w:style w:type="paragraph" w:customStyle="1" w:styleId="42">
    <w:name w:val="MycosDescription"/>
    <w:next w:val="7"/>
    <w:qFormat/>
    <w:uiPriority w:val="0"/>
    <w:rPr>
      <w:rFonts w:ascii="Calibri" w:hAnsi="Calibri" w:eastAsia="宋体" w:cs="Calibri"/>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chart" Target="charts/chart8.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F:\WeChat%20Files\Huaxh926\WeChat%20Files\zzzmoi\FileStorage\File\2024-12\&#27605;&#19994;&#29983;-&#27605;&#19994;&#29983;&#23601;&#19994;&#36136;&#37327;&#24180;&#24230;&#25253;&#21578;..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F:\WeChat%20Files\Huaxh926\WeChat%20Files\zzzmoi\FileStorage\File\2024-12\&#27605;&#19994;&#29983;-&#27605;&#19994;&#29983;&#23601;&#19994;&#36136;&#37327;&#24180;&#24230;&#25253;&#21578;..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F:\WeChat%20Files\Huaxh926\WeChat%20Files\zzzmoi\FileStorage\File\2024-12\&#27605;&#19994;&#29983;-&#27605;&#19994;&#29983;&#23601;&#19994;&#36136;&#37327;&#24180;&#24230;&#25253;&#21578;..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F:\WeChat%20Files\Huaxh926\WeChat%20Files\zzzmoi\FileStorage\File\2024-12\&#27605;&#19994;&#29983;-&#27605;&#19994;&#29983;&#23601;&#19994;&#36136;&#37327;&#24180;&#24230;&#25253;&#21578;..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F:\WeChat%20Files\Huaxh926\WeChat%20Files\zzzmoi\FileStorage\File\2024-12\&#25968;&#25454;&#22788;&#29702;&#21450;&#20998;&#26512;_&#23478;&#38271;-&#27605;&#19994;&#29983;&#23601;&#19994;&#36136;&#37327;&#24180;&#24230;&#25253;&#21578;.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F:\WeChat%20Files\Huaxh926\WeChat%20Files\zzzmoi\FileStorage\File\2024-12\&#25968;&#25454;&#22788;&#29702;&#21450;&#20998;&#26512;_&#23478;&#38271;-&#27605;&#19994;&#29983;&#23601;&#19994;&#36136;&#37327;&#24180;&#24230;&#25253;&#21578;.xlsx" TargetMode="External"/></Relationships>
</file>

<file path=word/charts/_rels/chart7.xml.rels><?xml version="1.0" encoding="UTF-8" standalone="yes"?>
<Relationships xmlns="http://schemas.openxmlformats.org/package/2006/relationships"><Relationship Id="rId4" Type="http://schemas.microsoft.com/office/2011/relationships/chartColorStyle" Target="colors7.xml"/><Relationship Id="rId3" Type="http://schemas.microsoft.com/office/2011/relationships/chartStyle" Target="style7.xml"/><Relationship Id="rId2" Type="http://schemas.openxmlformats.org/officeDocument/2006/relationships/themeOverride" Target="../theme/themeOverride1.xml"/><Relationship Id="rId1" Type="http://schemas.openxmlformats.org/officeDocument/2006/relationships/oleObject" Target="file:///F:\WeChat%20Files\Huaxh926\WeChat%20Files\zzzmoi\FileStorage\File\2024-12\&#25968;&#25454;&#22788;&#29702;&#20998;&#26512;-&#25945;&#24072;-&#27605;&#19994;&#29983;&#23601;&#19994;&#36136;&#37327;&#24180;&#24230;&#25253;&#21578;.xlsx"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file:///F:\WeChat%20Files\Huaxh926\WeChat%20Files\zzzmoi\FileStorage\File\2024-12\&#25968;&#25454;&#22788;&#29702;&#20998;&#26512;-&#25945;&#24072;-&#27605;&#19994;&#29983;&#23601;&#19994;&#36136;&#37327;&#24180;&#24230;&#25253;&#2157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8"/>
    </mc:Choice>
    <mc:Fallback>
      <c:style val="8"/>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'[毕业生-毕业生就业质量年度报告..xlsx]Sheet1'!$Q$1</c:f>
              <c:strCache>
                <c:ptCount val="1"/>
                <c:pt idx="0">
                  <c:v>我对学校的总体满意度</c:v>
                </c:pt>
              </c:strCache>
            </c:strRef>
          </c:tx>
          <c:spPr>
            <a:solidFill>
              <a:schemeClr val="accent6">
                <a:lumMod val="60000"/>
                <a:lumOff val="40000"/>
              </a:schemeClr>
            </a:solidFill>
            <a:ln>
              <a:noFill/>
            </a:ln>
            <a:effectLst/>
          </c:spPr>
          <c:invertIfNegative val="0"/>
          <c:dLbls>
            <c:delete val="1"/>
          </c:dLbls>
          <c:cat>
            <c:strRef>
              <c:f>'[毕业生-毕业生就业质量年度报告..xlsx]Sheet1'!$P$2:$P$6</c:f>
              <c:strCache>
                <c:ptCount val="5"/>
                <c:pt idx="0">
                  <c:v>基本满意</c:v>
                </c:pt>
                <c:pt idx="1">
                  <c:v>很满意</c:v>
                </c:pt>
                <c:pt idx="2">
                  <c:v>满意</c:v>
                </c:pt>
                <c:pt idx="3">
                  <c:v>不满意</c:v>
                </c:pt>
                <c:pt idx="4">
                  <c:v>很不满意</c:v>
                </c:pt>
              </c:strCache>
            </c:strRef>
          </c:cat>
          <c:val>
            <c:numRef>
              <c:f>'[毕业生-毕业生就业质量年度报告..xlsx]Sheet1'!$Q$2:$Q$6</c:f>
              <c:numCache>
                <c:formatCode>0.00%</c:formatCode>
                <c:ptCount val="5"/>
                <c:pt idx="0">
                  <c:v>0.422310756972112</c:v>
                </c:pt>
                <c:pt idx="1">
                  <c:v>0.167330677290837</c:v>
                </c:pt>
                <c:pt idx="2">
                  <c:v>0.310756972111554</c:v>
                </c:pt>
                <c:pt idx="3">
                  <c:v>0.0637450199203187</c:v>
                </c:pt>
                <c:pt idx="4">
                  <c:v>0.0358565737051793</c:v>
                </c:pt>
              </c:numCache>
            </c:numRef>
          </c:val>
        </c:ser>
        <c:dLbls>
          <c:showLegendKey val="0"/>
          <c:showVal val="0"/>
          <c:showCatName val="0"/>
          <c:showSerName val="0"/>
          <c:showPercent val="0"/>
          <c:showBubbleSize val="0"/>
        </c:dLbls>
        <c:gapWidth val="219"/>
        <c:overlap val="-27"/>
        <c:axId val="47088066"/>
        <c:axId val="946702451"/>
      </c:barChart>
      <c:catAx>
        <c:axId val="4708806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6702451"/>
        <c:crosses val="autoZero"/>
        <c:auto val="1"/>
        <c:lblAlgn val="ctr"/>
        <c:lblOffset val="100"/>
        <c:noMultiLvlLbl val="0"/>
      </c:catAx>
      <c:valAx>
        <c:axId val="94670245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088066"/>
        <c:crosses val="autoZero"/>
        <c:crossBetween val="between"/>
      </c:valAx>
      <c:spPr>
        <a:noFill/>
        <a:ln>
          <a:noFill/>
        </a:ln>
        <a:effectLst/>
      </c:spPr>
    </c:plotArea>
    <c:plotVisOnly val="1"/>
    <c:dispBlanksAs val="gap"/>
    <c:showDLblsOverMax val="0"/>
    <c:extLst>
      <c:ext uri="{0b15fc19-7d7d-44ad-8c2d-2c3a37ce22c3}">
        <chartProps xmlns="https://web.wps.cn/et/2018/main" chartId="{966a11e0-1968-4295-9bfa-472a438cf67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325"/>
          <c:y val="0.0381944444444444"/>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'[毕业生-毕业生就业质量年度报告..xlsx]Sheet1'!$B$8</c:f>
              <c:strCache>
                <c:ptCount val="1"/>
                <c:pt idx="0">
                  <c:v>我对工作的满意度_工作薪酬</c:v>
                </c:pt>
              </c:strCache>
            </c:strRef>
          </c:tx>
          <c:spPr>
            <a:solidFill>
              <a:schemeClr val="accent6">
                <a:lumMod val="60000"/>
                <a:lumOff val="40000"/>
              </a:schemeClr>
            </a:solidFill>
            <a:ln>
              <a:noFill/>
            </a:ln>
            <a:effectLst/>
          </c:spPr>
          <c:invertIfNegative val="0"/>
          <c:dLbls>
            <c:delete val="1"/>
          </c:dLbls>
          <c:cat>
            <c:strRef>
              <c:f>'[毕业生-毕业生就业质量年度报告..xlsx]Sheet1'!$A$9:$A$13</c:f>
              <c:strCache>
                <c:ptCount val="5"/>
                <c:pt idx="0">
                  <c:v>基本满意</c:v>
                </c:pt>
                <c:pt idx="1">
                  <c:v>很满意</c:v>
                </c:pt>
                <c:pt idx="2">
                  <c:v>满意</c:v>
                </c:pt>
                <c:pt idx="3">
                  <c:v>不满意</c:v>
                </c:pt>
                <c:pt idx="4">
                  <c:v>很不满意</c:v>
                </c:pt>
              </c:strCache>
            </c:strRef>
          </c:cat>
          <c:val>
            <c:numRef>
              <c:f>'[毕业生-毕业生就业质量年度报告..xlsx]Sheet1'!$B$9:$B$13</c:f>
              <c:numCache>
                <c:formatCode>0.00%</c:formatCode>
                <c:ptCount val="5"/>
                <c:pt idx="0">
                  <c:v>0.318725099601594</c:v>
                </c:pt>
                <c:pt idx="1">
                  <c:v>0.0836653386454183</c:v>
                </c:pt>
                <c:pt idx="2">
                  <c:v>0.159362549800797</c:v>
                </c:pt>
                <c:pt idx="3">
                  <c:v>0.0916334661354582</c:v>
                </c:pt>
                <c:pt idx="4">
                  <c:v>0.0398406374501992</c:v>
                </c:pt>
              </c:numCache>
            </c:numRef>
          </c:val>
        </c:ser>
        <c:dLbls>
          <c:showLegendKey val="0"/>
          <c:showVal val="1"/>
          <c:showCatName val="0"/>
          <c:showSerName val="0"/>
          <c:showPercent val="0"/>
          <c:showBubbleSize val="0"/>
        </c:dLbls>
        <c:gapWidth val="219"/>
        <c:overlap val="-27"/>
        <c:axId val="819553202"/>
        <c:axId val="840922686"/>
      </c:barChart>
      <c:catAx>
        <c:axId val="81955320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0922686"/>
        <c:crosses val="autoZero"/>
        <c:auto val="1"/>
        <c:lblAlgn val="ctr"/>
        <c:lblOffset val="100"/>
        <c:noMultiLvlLbl val="0"/>
      </c:catAx>
      <c:valAx>
        <c:axId val="84092268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9553202"/>
        <c:crosses val="autoZero"/>
        <c:crossBetween val="between"/>
      </c:valAx>
      <c:spPr>
        <a:noFill/>
        <a:ln>
          <a:noFill/>
        </a:ln>
        <a:effectLst/>
      </c:spPr>
    </c:plotArea>
    <c:plotVisOnly val="1"/>
    <c:dispBlanksAs val="gap"/>
    <c:showDLblsOverMax val="0"/>
    <c:extLst>
      <c:ext uri="{0b15fc19-7d7d-44ad-8c2d-2c3a37ce22c3}">
        <chartProps xmlns="https://web.wps.cn/et/2018/main" chartId="{4da9c7cc-0855-4248-8167-4ffb0d1dbcf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'[毕业生-毕业生就业质量年度报告..xlsx]Sheet1'!$B$15</c:f>
              <c:strCache>
                <c:ptCount val="1"/>
                <c:pt idx="0">
                  <c:v>我对工作的满意度_工作内容</c:v>
                </c:pt>
              </c:strCache>
            </c:strRef>
          </c:tx>
          <c:spPr>
            <a:solidFill>
              <a:schemeClr val="accent6">
                <a:lumMod val="60000"/>
                <a:lumOff val="40000"/>
              </a:schemeClr>
            </a:solidFill>
            <a:ln>
              <a:noFill/>
            </a:ln>
            <a:effectLst/>
          </c:spPr>
          <c:invertIfNegative val="0"/>
          <c:dLbls>
            <c:delete val="1"/>
          </c:dLbls>
          <c:cat>
            <c:strRef>
              <c:f>'[毕业生-毕业生就业质量年度报告..xlsx]Sheet1'!$A$16:$A$20</c:f>
              <c:strCache>
                <c:ptCount val="5"/>
                <c:pt idx="0">
                  <c:v>基本满意</c:v>
                </c:pt>
                <c:pt idx="1">
                  <c:v>很满意</c:v>
                </c:pt>
                <c:pt idx="2">
                  <c:v>满意</c:v>
                </c:pt>
                <c:pt idx="3">
                  <c:v>不满意</c:v>
                </c:pt>
                <c:pt idx="4">
                  <c:v>很不满意</c:v>
                </c:pt>
              </c:strCache>
            </c:strRef>
          </c:cat>
          <c:val>
            <c:numRef>
              <c:f>'[毕业生-毕业生就业质量年度报告..xlsx]Sheet1'!$B$16:$B$20</c:f>
              <c:numCache>
                <c:formatCode>0.00%</c:formatCode>
                <c:ptCount val="5"/>
                <c:pt idx="0">
                  <c:v>0.346613545816733</c:v>
                </c:pt>
                <c:pt idx="1">
                  <c:v>0.103585657370518</c:v>
                </c:pt>
                <c:pt idx="2">
                  <c:v>0.219123505976096</c:v>
                </c:pt>
                <c:pt idx="3">
                  <c:v>0.0159362549800797</c:v>
                </c:pt>
                <c:pt idx="4">
                  <c:v>0.00796812749003984</c:v>
                </c:pt>
              </c:numCache>
            </c:numRef>
          </c:val>
        </c:ser>
        <c:dLbls>
          <c:showLegendKey val="0"/>
          <c:showVal val="1"/>
          <c:showCatName val="0"/>
          <c:showSerName val="0"/>
          <c:showPercent val="0"/>
          <c:showBubbleSize val="0"/>
        </c:dLbls>
        <c:gapWidth val="219"/>
        <c:overlap val="-27"/>
        <c:axId val="633579442"/>
        <c:axId val="328837631"/>
      </c:barChart>
      <c:catAx>
        <c:axId val="63357944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8837631"/>
        <c:crosses val="autoZero"/>
        <c:auto val="1"/>
        <c:lblAlgn val="ctr"/>
        <c:lblOffset val="100"/>
        <c:noMultiLvlLbl val="0"/>
      </c:catAx>
      <c:valAx>
        <c:axId val="32883763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3579442"/>
        <c:crosses val="autoZero"/>
        <c:crossBetween val="between"/>
      </c:valAx>
      <c:spPr>
        <a:noFill/>
        <a:ln>
          <a:noFill/>
        </a:ln>
        <a:effectLst/>
      </c:spPr>
    </c:plotArea>
    <c:plotVisOnly val="1"/>
    <c:dispBlanksAs val="gap"/>
    <c:showDLblsOverMax val="0"/>
    <c:extLst>
      <c:ext uri="{0b15fc19-7d7d-44ad-8c2d-2c3a37ce22c3}">
        <chartProps xmlns="https://web.wps.cn/et/2018/main" chartId="{3c80bf6d-0be2-4b2e-8c2e-95e6873f0e8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'[毕业生-毕业生就业质量年度报告..xlsx]Sheet1'!$B$22</c:f>
              <c:strCache>
                <c:ptCount val="1"/>
                <c:pt idx="0">
                  <c:v>我对工作的满意度_职业前景</c:v>
                </c:pt>
              </c:strCache>
            </c:strRef>
          </c:tx>
          <c:spPr>
            <a:solidFill>
              <a:schemeClr val="accent6">
                <a:lumMod val="60000"/>
                <a:lumOff val="40000"/>
              </a:schemeClr>
            </a:solidFill>
            <a:ln>
              <a:noFill/>
            </a:ln>
            <a:effectLst/>
          </c:spPr>
          <c:invertIfNegative val="0"/>
          <c:dLbls>
            <c:delete val="1"/>
          </c:dLbls>
          <c:cat>
            <c:strRef>
              <c:f>'[毕业生-毕业生就业质量年度报告..xlsx]Sheet1'!$A$23:$A$27</c:f>
              <c:strCache>
                <c:ptCount val="5"/>
                <c:pt idx="0">
                  <c:v>基本满意</c:v>
                </c:pt>
                <c:pt idx="1">
                  <c:v>很满意</c:v>
                </c:pt>
                <c:pt idx="2">
                  <c:v>满意</c:v>
                </c:pt>
                <c:pt idx="3">
                  <c:v>不满意</c:v>
                </c:pt>
                <c:pt idx="4">
                  <c:v>很不满意</c:v>
                </c:pt>
              </c:strCache>
            </c:strRef>
          </c:cat>
          <c:val>
            <c:numRef>
              <c:f>'[毕业生-毕业生就业质量年度报告..xlsx]Sheet1'!$B$23:$B$27</c:f>
              <c:numCache>
                <c:formatCode>0.00%</c:formatCode>
                <c:ptCount val="5"/>
                <c:pt idx="0">
                  <c:v>0.314741035856574</c:v>
                </c:pt>
                <c:pt idx="1">
                  <c:v>0.115537848605578</c:v>
                </c:pt>
                <c:pt idx="2">
                  <c:v>0.167330677290837</c:v>
                </c:pt>
                <c:pt idx="3">
                  <c:v>0.0677290836653386</c:v>
                </c:pt>
                <c:pt idx="4">
                  <c:v>0.0278884462151394</c:v>
                </c:pt>
              </c:numCache>
            </c:numRef>
          </c:val>
        </c:ser>
        <c:dLbls>
          <c:showLegendKey val="0"/>
          <c:showVal val="1"/>
          <c:showCatName val="0"/>
          <c:showSerName val="0"/>
          <c:showPercent val="0"/>
          <c:showBubbleSize val="0"/>
        </c:dLbls>
        <c:gapWidth val="219"/>
        <c:overlap val="-27"/>
        <c:axId val="710862186"/>
        <c:axId val="955661815"/>
      </c:barChart>
      <c:catAx>
        <c:axId val="71086218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661815"/>
        <c:crosses val="autoZero"/>
        <c:auto val="1"/>
        <c:lblAlgn val="ctr"/>
        <c:lblOffset val="100"/>
        <c:noMultiLvlLbl val="0"/>
      </c:catAx>
      <c:valAx>
        <c:axId val="955661815"/>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0862186"/>
        <c:crosses val="autoZero"/>
        <c:crossBetween val="between"/>
      </c:valAx>
      <c:spPr>
        <a:noFill/>
        <a:ln>
          <a:noFill/>
        </a:ln>
        <a:effectLst/>
      </c:spPr>
    </c:plotArea>
    <c:plotVisOnly val="1"/>
    <c:dispBlanksAs val="gap"/>
    <c:showDLblsOverMax val="0"/>
    <c:extLst>
      <c:ext uri="{0b15fc19-7d7d-44ad-8c2d-2c3a37ce22c3}">
        <chartProps xmlns="https://web.wps.cn/et/2018/main" chartId="{334d4229-0768-4b43-962e-b010ae30071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学校及专业满意度</a:t>
            </a:r>
          </a:p>
        </c:rich>
      </c:tx>
      <c:layout/>
      <c:overlay val="0"/>
      <c:spPr>
        <a:noFill/>
        <a:ln>
          <a:noFill/>
        </a:ln>
        <a:effectLst/>
      </c:spPr>
    </c:title>
    <c:autoTitleDeleted val="0"/>
    <c:plotArea>
      <c:layout/>
      <c:barChart>
        <c:barDir val="col"/>
        <c:grouping val="clustered"/>
        <c:varyColors val="0"/>
        <c:ser>
          <c:idx val="0"/>
          <c:order val="0"/>
          <c:tx>
            <c:strRef>
              <c:f>'[数据处理及分析_家长-毕业生就业质量年度报告.xlsx]Sheet1'!$B$2</c:f>
              <c:strCache>
                <c:ptCount val="1"/>
                <c:pt idx="0">
                  <c:v>学校满意度</c:v>
                </c:pt>
              </c:strCache>
            </c:strRef>
          </c:tx>
          <c:spPr>
            <a:solidFill>
              <a:schemeClr val="accent1"/>
            </a:solidFill>
            <a:ln>
              <a:noFill/>
            </a:ln>
            <a:effectLst/>
          </c:spPr>
          <c:invertIfNegative val="0"/>
          <c:dLbls>
            <c:delete val="1"/>
          </c:dLbls>
          <c:cat>
            <c:strRef>
              <c:f>'[数据处理及分析_家长-毕业生就业质量年度报告.xlsx]Sheet1'!$A$3:$A$5</c:f>
              <c:strCache>
                <c:ptCount val="3"/>
                <c:pt idx="0">
                  <c:v>很满意</c:v>
                </c:pt>
                <c:pt idx="1">
                  <c:v>比较满意</c:v>
                </c:pt>
                <c:pt idx="2">
                  <c:v>很不满意</c:v>
                </c:pt>
              </c:strCache>
            </c:strRef>
          </c:cat>
          <c:val>
            <c:numRef>
              <c:f>'[数据处理及分析_家长-毕业生就业质量年度报告.xlsx]Sheet1'!$B$3:$B$5</c:f>
              <c:numCache>
                <c:formatCode>0.00%</c:formatCode>
                <c:ptCount val="3"/>
                <c:pt idx="0">
                  <c:v>0.26056338028169</c:v>
                </c:pt>
                <c:pt idx="1">
                  <c:v>0.732394366197183</c:v>
                </c:pt>
                <c:pt idx="2">
                  <c:v>0.00704225352112676</c:v>
                </c:pt>
              </c:numCache>
            </c:numRef>
          </c:val>
        </c:ser>
        <c:ser>
          <c:idx val="1"/>
          <c:order val="1"/>
          <c:tx>
            <c:strRef>
              <c:f>'[数据处理及分析_家长-毕业生就业质量年度报告.xlsx]Sheet1'!$C$2</c:f>
              <c:strCache>
                <c:ptCount val="1"/>
                <c:pt idx="0">
                  <c:v>专业满意度</c:v>
                </c:pt>
              </c:strCache>
            </c:strRef>
          </c:tx>
          <c:spPr>
            <a:solidFill>
              <a:schemeClr val="accent2"/>
            </a:solidFill>
            <a:ln>
              <a:noFill/>
            </a:ln>
            <a:effectLst/>
          </c:spPr>
          <c:invertIfNegative val="0"/>
          <c:dLbls>
            <c:delete val="1"/>
          </c:dLbls>
          <c:cat>
            <c:strRef>
              <c:f>'[数据处理及分析_家长-毕业生就业质量年度报告.xlsx]Sheet1'!$A$3:$A$5</c:f>
              <c:strCache>
                <c:ptCount val="3"/>
                <c:pt idx="0">
                  <c:v>很满意</c:v>
                </c:pt>
                <c:pt idx="1">
                  <c:v>比较满意</c:v>
                </c:pt>
                <c:pt idx="2">
                  <c:v>很不满意</c:v>
                </c:pt>
              </c:strCache>
            </c:strRef>
          </c:cat>
          <c:val>
            <c:numRef>
              <c:f>'[数据处理及分析_家长-毕业生就业质量年度报告.xlsx]Sheet1'!$C$3:$C$5</c:f>
              <c:numCache>
                <c:formatCode>0.00%</c:formatCode>
                <c:ptCount val="3"/>
                <c:pt idx="0">
                  <c:v>0.47887323943662</c:v>
                </c:pt>
                <c:pt idx="1">
                  <c:v>0.514084507042254</c:v>
                </c:pt>
                <c:pt idx="2">
                  <c:v>0.00704225352112676</c:v>
                </c:pt>
              </c:numCache>
            </c:numRef>
          </c:val>
        </c:ser>
        <c:dLbls>
          <c:showLegendKey val="0"/>
          <c:showVal val="1"/>
          <c:showCatName val="0"/>
          <c:showSerName val="0"/>
          <c:showPercent val="0"/>
          <c:showBubbleSize val="0"/>
        </c:dLbls>
        <c:gapWidth val="246"/>
        <c:overlap val="-28"/>
        <c:axId val="994743494"/>
        <c:axId val="29044134"/>
      </c:barChart>
      <c:catAx>
        <c:axId val="99474349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044134"/>
        <c:crosses val="autoZero"/>
        <c:auto val="1"/>
        <c:lblAlgn val="ctr"/>
        <c:lblOffset val="100"/>
        <c:noMultiLvlLbl val="0"/>
      </c:catAx>
      <c:valAx>
        <c:axId val="29044134"/>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474349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f3d1a37-000a-4e68-b6be-4e4fefe17d7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工作满意度</a:t>
            </a:r>
          </a:p>
        </c:rich>
      </c:tx>
      <c:layout/>
      <c:overlay val="0"/>
      <c:spPr>
        <a:noFill/>
        <a:ln>
          <a:noFill/>
        </a:ln>
        <a:effectLst/>
      </c:spPr>
    </c:title>
    <c:autoTitleDeleted val="0"/>
    <c:plotArea>
      <c:layout/>
      <c:barChart>
        <c:barDir val="col"/>
        <c:grouping val="clustered"/>
        <c:varyColors val="0"/>
        <c:ser>
          <c:idx val="0"/>
          <c:order val="0"/>
          <c:tx>
            <c:strRef>
              <c:f>'[数据处理及分析_家长-毕业生就业质量年度报告.xlsx]Sheet1'!$A$20</c:f>
              <c:strCache>
                <c:ptCount val="1"/>
                <c:pt idx="0">
                  <c:v>很满意</c:v>
                </c:pt>
              </c:strCache>
            </c:strRef>
          </c:tx>
          <c:spPr>
            <a:solidFill>
              <a:schemeClr val="accent1"/>
            </a:solidFill>
            <a:ln>
              <a:noFill/>
            </a:ln>
            <a:effectLst/>
          </c:spPr>
          <c:invertIfNegative val="0"/>
          <c:dLbls>
            <c:delete val="1"/>
          </c:dLbls>
          <c:cat>
            <c:strRef>
              <c:f>'[数据处理及分析_家长-毕业生就业质量年度报告.xlsx]Sheet1'!$B$19:$E$19</c:f>
              <c:strCache>
                <c:ptCount val="4"/>
                <c:pt idx="0">
                  <c:v>工作单位</c:v>
                </c:pt>
                <c:pt idx="1">
                  <c:v>单位环境</c:v>
                </c:pt>
                <c:pt idx="2">
                  <c:v>工作内容</c:v>
                </c:pt>
                <c:pt idx="3">
                  <c:v>工作强度</c:v>
                </c:pt>
              </c:strCache>
            </c:strRef>
          </c:cat>
          <c:val>
            <c:numRef>
              <c:f>'[数据处理及分析_家长-毕业生就业质量年度报告.xlsx]Sheet1'!$B$20:$E$20</c:f>
              <c:numCache>
                <c:formatCode>0.00%</c:formatCode>
                <c:ptCount val="4"/>
                <c:pt idx="0">
                  <c:v>0.584507042253521</c:v>
                </c:pt>
                <c:pt idx="1">
                  <c:v>0.394366197183099</c:v>
                </c:pt>
                <c:pt idx="2">
                  <c:v>0.492957746478873</c:v>
                </c:pt>
                <c:pt idx="3">
                  <c:v>0.450704225352113</c:v>
                </c:pt>
              </c:numCache>
            </c:numRef>
          </c:val>
        </c:ser>
        <c:ser>
          <c:idx val="1"/>
          <c:order val="1"/>
          <c:tx>
            <c:strRef>
              <c:f>'[数据处理及分析_家长-毕业生就业质量年度报告.xlsx]Sheet1'!$A$21</c:f>
              <c:strCache>
                <c:ptCount val="1"/>
                <c:pt idx="0">
                  <c:v>满意</c:v>
                </c:pt>
              </c:strCache>
            </c:strRef>
          </c:tx>
          <c:spPr>
            <a:solidFill>
              <a:schemeClr val="accent2"/>
            </a:solidFill>
            <a:ln>
              <a:noFill/>
            </a:ln>
            <a:effectLst/>
          </c:spPr>
          <c:invertIfNegative val="0"/>
          <c:dLbls>
            <c:delete val="1"/>
          </c:dLbls>
          <c:cat>
            <c:strRef>
              <c:f>'[数据处理及分析_家长-毕业生就业质量年度报告.xlsx]Sheet1'!$B$19:$E$19</c:f>
              <c:strCache>
                <c:ptCount val="4"/>
                <c:pt idx="0">
                  <c:v>工作单位</c:v>
                </c:pt>
                <c:pt idx="1">
                  <c:v>单位环境</c:v>
                </c:pt>
                <c:pt idx="2">
                  <c:v>工作内容</c:v>
                </c:pt>
                <c:pt idx="3">
                  <c:v>工作强度</c:v>
                </c:pt>
              </c:strCache>
            </c:strRef>
          </c:cat>
          <c:val>
            <c:numRef>
              <c:f>'[数据处理及分析_家长-毕业生就业质量年度报告.xlsx]Sheet1'!$B$21:$E$21</c:f>
              <c:numCache>
                <c:formatCode>0.00%</c:formatCode>
                <c:ptCount val="4"/>
                <c:pt idx="0">
                  <c:v>0.366197183098592</c:v>
                </c:pt>
                <c:pt idx="1">
                  <c:v>0.577464788732394</c:v>
                </c:pt>
                <c:pt idx="2">
                  <c:v>0.471830985915493</c:v>
                </c:pt>
                <c:pt idx="3">
                  <c:v>0</c:v>
                </c:pt>
              </c:numCache>
            </c:numRef>
          </c:val>
        </c:ser>
        <c:ser>
          <c:idx val="2"/>
          <c:order val="2"/>
          <c:tx>
            <c:strRef>
              <c:f>'[数据处理及分析_家长-毕业生就业质量年度报告.xlsx]Sheet1'!$A$22</c:f>
              <c:strCache>
                <c:ptCount val="1"/>
                <c:pt idx="0">
                  <c:v>比较满意</c:v>
                </c:pt>
              </c:strCache>
            </c:strRef>
          </c:tx>
          <c:spPr>
            <a:solidFill>
              <a:schemeClr val="accent3"/>
            </a:solidFill>
            <a:ln>
              <a:noFill/>
            </a:ln>
            <a:effectLst/>
          </c:spPr>
          <c:invertIfNegative val="0"/>
          <c:dLbls>
            <c:delete val="1"/>
          </c:dLbls>
          <c:cat>
            <c:strRef>
              <c:f>'[数据处理及分析_家长-毕业生就业质量年度报告.xlsx]Sheet1'!$B$19:$E$19</c:f>
              <c:strCache>
                <c:ptCount val="4"/>
                <c:pt idx="0">
                  <c:v>工作单位</c:v>
                </c:pt>
                <c:pt idx="1">
                  <c:v>单位环境</c:v>
                </c:pt>
                <c:pt idx="2">
                  <c:v>工作内容</c:v>
                </c:pt>
                <c:pt idx="3">
                  <c:v>工作强度</c:v>
                </c:pt>
              </c:strCache>
            </c:strRef>
          </c:cat>
          <c:val>
            <c:numRef>
              <c:f>'[数据处理及分析_家长-毕业生就业质量年度报告.xlsx]Sheet1'!$B$22:$E$22</c:f>
              <c:numCache>
                <c:formatCode>0.00%</c:formatCode>
                <c:ptCount val="4"/>
                <c:pt idx="0">
                  <c:v>0</c:v>
                </c:pt>
                <c:pt idx="1">
                  <c:v>0</c:v>
                </c:pt>
                <c:pt idx="2">
                  <c:v>0</c:v>
                </c:pt>
                <c:pt idx="3">
                  <c:v>0.485915492957746</c:v>
                </c:pt>
              </c:numCache>
            </c:numRef>
          </c:val>
        </c:ser>
        <c:ser>
          <c:idx val="3"/>
          <c:order val="3"/>
          <c:tx>
            <c:strRef>
              <c:f>'[数据处理及分析_家长-毕业生就业质量年度报告.xlsx]Sheet1'!$A$23</c:f>
              <c:strCache>
                <c:ptCount val="1"/>
                <c:pt idx="0">
                  <c:v>基本满意</c:v>
                </c:pt>
              </c:strCache>
            </c:strRef>
          </c:tx>
          <c:spPr>
            <a:solidFill>
              <a:schemeClr val="accent4"/>
            </a:solidFill>
            <a:ln>
              <a:noFill/>
            </a:ln>
            <a:effectLst/>
          </c:spPr>
          <c:invertIfNegative val="0"/>
          <c:dLbls>
            <c:delete val="1"/>
          </c:dLbls>
          <c:cat>
            <c:strRef>
              <c:f>'[数据处理及分析_家长-毕业生就业质量年度报告.xlsx]Sheet1'!$B$19:$E$19</c:f>
              <c:strCache>
                <c:ptCount val="4"/>
                <c:pt idx="0">
                  <c:v>工作单位</c:v>
                </c:pt>
                <c:pt idx="1">
                  <c:v>单位环境</c:v>
                </c:pt>
                <c:pt idx="2">
                  <c:v>工作内容</c:v>
                </c:pt>
                <c:pt idx="3">
                  <c:v>工作强度</c:v>
                </c:pt>
              </c:strCache>
            </c:strRef>
          </c:cat>
          <c:val>
            <c:numRef>
              <c:f>'[数据处理及分析_家长-毕业生就业质量年度报告.xlsx]Sheet1'!$B$23:$E$23</c:f>
              <c:numCache>
                <c:formatCode>0.00%</c:formatCode>
                <c:ptCount val="4"/>
                <c:pt idx="0">
                  <c:v>0.0352112676056338</c:v>
                </c:pt>
                <c:pt idx="1">
                  <c:v>0.0140845070422535</c:v>
                </c:pt>
                <c:pt idx="2">
                  <c:v>0.0211267605633803</c:v>
                </c:pt>
                <c:pt idx="3">
                  <c:v>0.0492957746478873</c:v>
                </c:pt>
              </c:numCache>
            </c:numRef>
          </c:val>
        </c:ser>
        <c:ser>
          <c:idx val="4"/>
          <c:order val="4"/>
          <c:tx>
            <c:strRef>
              <c:f>'[数据处理及分析_家长-毕业生就业质量年度报告.xlsx]Sheet1'!$A$24</c:f>
              <c:strCache>
                <c:ptCount val="1"/>
                <c:pt idx="0">
                  <c:v>很不满意</c:v>
                </c:pt>
              </c:strCache>
            </c:strRef>
          </c:tx>
          <c:spPr>
            <a:solidFill>
              <a:schemeClr val="accent5"/>
            </a:solidFill>
            <a:ln>
              <a:noFill/>
            </a:ln>
            <a:effectLst/>
          </c:spPr>
          <c:invertIfNegative val="0"/>
          <c:dLbls>
            <c:delete val="1"/>
          </c:dLbls>
          <c:cat>
            <c:strRef>
              <c:f>'[数据处理及分析_家长-毕业生就业质量年度报告.xlsx]Sheet1'!$B$19:$E$19</c:f>
              <c:strCache>
                <c:ptCount val="4"/>
                <c:pt idx="0">
                  <c:v>工作单位</c:v>
                </c:pt>
                <c:pt idx="1">
                  <c:v>单位环境</c:v>
                </c:pt>
                <c:pt idx="2">
                  <c:v>工作内容</c:v>
                </c:pt>
                <c:pt idx="3">
                  <c:v>工作强度</c:v>
                </c:pt>
              </c:strCache>
            </c:strRef>
          </c:cat>
          <c:val>
            <c:numRef>
              <c:f>'[数据处理及分析_家长-毕业生就业质量年度报告.xlsx]Sheet1'!$B$24:$E$24</c:f>
              <c:numCache>
                <c:formatCode>0.00%</c:formatCode>
                <c:ptCount val="4"/>
                <c:pt idx="0">
                  <c:v>0.00704225352112676</c:v>
                </c:pt>
                <c:pt idx="1">
                  <c:v>0.00704225352112676</c:v>
                </c:pt>
                <c:pt idx="2">
                  <c:v>0.00704225352112676</c:v>
                </c:pt>
                <c:pt idx="3">
                  <c:v>0.00704225352112676</c:v>
                </c:pt>
              </c:numCache>
            </c:numRef>
          </c:val>
        </c:ser>
        <c:ser>
          <c:idx val="5"/>
          <c:order val="5"/>
          <c:tx>
            <c:strRef>
              <c:f>'[数据处理及分析_家长-毕业生就业质量年度报告.xlsx]Sheet1'!$A$25</c:f>
              <c:strCache>
                <c:ptCount val="1"/>
                <c:pt idx="0">
                  <c:v>未就业</c:v>
                </c:pt>
              </c:strCache>
            </c:strRef>
          </c:tx>
          <c:spPr>
            <a:solidFill>
              <a:schemeClr val="accent6"/>
            </a:solidFill>
            <a:ln>
              <a:noFill/>
            </a:ln>
            <a:effectLst/>
          </c:spPr>
          <c:invertIfNegative val="0"/>
          <c:dLbls>
            <c:delete val="1"/>
          </c:dLbls>
          <c:cat>
            <c:strRef>
              <c:f>'[数据处理及分析_家长-毕业生就业质量年度报告.xlsx]Sheet1'!$B$19:$E$19</c:f>
              <c:strCache>
                <c:ptCount val="4"/>
                <c:pt idx="0">
                  <c:v>工作单位</c:v>
                </c:pt>
                <c:pt idx="1">
                  <c:v>单位环境</c:v>
                </c:pt>
                <c:pt idx="2">
                  <c:v>工作内容</c:v>
                </c:pt>
                <c:pt idx="3">
                  <c:v>工作强度</c:v>
                </c:pt>
              </c:strCache>
            </c:strRef>
          </c:cat>
          <c:val>
            <c:numRef>
              <c:f>'[数据处理及分析_家长-毕业生就业质量年度报告.xlsx]Sheet1'!$B$25:$E$25</c:f>
              <c:numCache>
                <c:formatCode>0.00%</c:formatCode>
                <c:ptCount val="4"/>
                <c:pt idx="0">
                  <c:v>0.00704225352112676</c:v>
                </c:pt>
                <c:pt idx="1">
                  <c:v>0.00704225352112676</c:v>
                </c:pt>
                <c:pt idx="2">
                  <c:v>0.00704225352112676</c:v>
                </c:pt>
                <c:pt idx="3">
                  <c:v>0.00704225352112676</c:v>
                </c:pt>
              </c:numCache>
            </c:numRef>
          </c:val>
        </c:ser>
        <c:dLbls>
          <c:showLegendKey val="0"/>
          <c:showVal val="0"/>
          <c:showCatName val="0"/>
          <c:showSerName val="0"/>
          <c:showPercent val="0"/>
          <c:showBubbleSize val="0"/>
        </c:dLbls>
        <c:gapWidth val="246"/>
        <c:overlap val="-28"/>
        <c:axId val="580690934"/>
        <c:axId val="164612651"/>
      </c:barChart>
      <c:catAx>
        <c:axId val="58069093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4612651"/>
        <c:crosses val="autoZero"/>
        <c:auto val="1"/>
        <c:lblAlgn val="ctr"/>
        <c:lblOffset val="100"/>
        <c:noMultiLvlLbl val="0"/>
      </c:catAx>
      <c:valAx>
        <c:axId val="164612651"/>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069093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ce01f68-5a70-4c07-a5f2-d253f9b240b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学科专业与学生培养质量</a:t>
            </a:r>
          </a:p>
        </c:rich>
      </c:tx>
      <c:layout/>
      <c:overlay val="0"/>
      <c:spPr>
        <a:noFill/>
        <a:ln>
          <a:noFill/>
        </a:ln>
        <a:effectLst/>
      </c:spPr>
    </c:title>
    <c:autoTitleDeleted val="0"/>
    <c:plotArea>
      <c:layout/>
      <c:barChart>
        <c:barDir val="col"/>
        <c:grouping val="clustered"/>
        <c:varyColors val="0"/>
        <c:ser>
          <c:idx val="0"/>
          <c:order val="0"/>
          <c:tx>
            <c:strRef>
              <c:f>'[数据处理分析-教师-毕业生就业质量年度报告.xlsx]Sheet1'!$A$2</c:f>
              <c:strCache>
                <c:ptCount val="1"/>
                <c:pt idx="0">
                  <c:v>很满意</c:v>
                </c:pt>
              </c:strCache>
            </c:strRef>
          </c:tx>
          <c:spPr>
            <a:solidFill>
              <a:schemeClr val="accent1"/>
            </a:solidFill>
            <a:ln>
              <a:solidFill>
                <a:schemeClr val="bg1"/>
              </a:solidFill>
            </a:ln>
            <a:effectLst/>
          </c:spPr>
          <c:invertIfNegative val="0"/>
          <c:dLbls>
            <c:delete val="1"/>
          </c:dLbls>
          <c:cat>
            <c:strRef>
              <c:f>'[数据处理分析-教师-毕业生就业质量年度报告.xlsx]Sheet1'!$B$1:$C$1</c:f>
              <c:strCache>
                <c:ptCount val="2"/>
                <c:pt idx="0">
                  <c:v>学科专业</c:v>
                </c:pt>
                <c:pt idx="1">
                  <c:v>学生培养质量</c:v>
                </c:pt>
              </c:strCache>
            </c:strRef>
          </c:cat>
          <c:val>
            <c:numRef>
              <c:f>'[数据处理分析-教师-毕业生就业质量年度报告.xlsx]Sheet1'!$B$2:$C$2</c:f>
              <c:numCache>
                <c:formatCode>0.00%</c:formatCode>
                <c:ptCount val="2"/>
                <c:pt idx="0">
                  <c:v>0.56</c:v>
                </c:pt>
                <c:pt idx="1">
                  <c:v>0.56</c:v>
                </c:pt>
              </c:numCache>
            </c:numRef>
          </c:val>
        </c:ser>
        <c:ser>
          <c:idx val="1"/>
          <c:order val="1"/>
          <c:tx>
            <c:strRef>
              <c:f>'[数据处理分析-教师-毕业生就业质量年度报告.xlsx]Sheet1'!$A$3</c:f>
              <c:strCache>
                <c:ptCount val="1"/>
                <c:pt idx="0">
                  <c:v>比较满意</c:v>
                </c:pt>
              </c:strCache>
            </c:strRef>
          </c:tx>
          <c:spPr>
            <a:solidFill>
              <a:schemeClr val="accent2"/>
            </a:solidFill>
            <a:ln>
              <a:solidFill>
                <a:schemeClr val="bg1"/>
              </a:solidFill>
            </a:ln>
            <a:effectLst/>
          </c:spPr>
          <c:invertIfNegative val="0"/>
          <c:dLbls>
            <c:delete val="1"/>
          </c:dLbls>
          <c:cat>
            <c:strRef>
              <c:f>'[数据处理分析-教师-毕业生就业质量年度报告.xlsx]Sheet1'!$B$1:$C$1</c:f>
              <c:strCache>
                <c:ptCount val="2"/>
                <c:pt idx="0">
                  <c:v>学科专业</c:v>
                </c:pt>
                <c:pt idx="1">
                  <c:v>学生培养质量</c:v>
                </c:pt>
              </c:strCache>
            </c:strRef>
          </c:cat>
          <c:val>
            <c:numRef>
              <c:f>'[数据处理分析-教师-毕业生就业质量年度报告.xlsx]Sheet1'!$B$3:$C$3</c:f>
              <c:numCache>
                <c:formatCode>0.00%</c:formatCode>
                <c:ptCount val="2"/>
                <c:pt idx="0">
                  <c:v>0.4</c:v>
                </c:pt>
                <c:pt idx="1">
                  <c:v>0.36</c:v>
                </c:pt>
              </c:numCache>
            </c:numRef>
          </c:val>
        </c:ser>
        <c:ser>
          <c:idx val="2"/>
          <c:order val="2"/>
          <c:tx>
            <c:strRef>
              <c:f>'[数据处理分析-教师-毕业生就业质量年度报告.xlsx]Sheet1'!$A$4</c:f>
              <c:strCache>
                <c:ptCount val="1"/>
                <c:pt idx="0">
                  <c:v>一般</c:v>
                </c:pt>
              </c:strCache>
            </c:strRef>
          </c:tx>
          <c:spPr>
            <a:solidFill>
              <a:schemeClr val="accent3"/>
            </a:solidFill>
            <a:ln>
              <a:solidFill>
                <a:schemeClr val="bg1"/>
              </a:solidFill>
            </a:ln>
            <a:effectLst/>
          </c:spPr>
          <c:invertIfNegative val="0"/>
          <c:dLbls>
            <c:delete val="1"/>
          </c:dLbls>
          <c:cat>
            <c:strRef>
              <c:f>'[数据处理分析-教师-毕业生就业质量年度报告.xlsx]Sheet1'!$B$1:$C$1</c:f>
              <c:strCache>
                <c:ptCount val="2"/>
                <c:pt idx="0">
                  <c:v>学科专业</c:v>
                </c:pt>
                <c:pt idx="1">
                  <c:v>学生培养质量</c:v>
                </c:pt>
              </c:strCache>
            </c:strRef>
          </c:cat>
          <c:val>
            <c:numRef>
              <c:f>'[数据处理分析-教师-毕业生就业质量年度报告.xlsx]Sheet1'!$B$4:$C$4</c:f>
              <c:numCache>
                <c:formatCode>0.00%</c:formatCode>
                <c:ptCount val="2"/>
                <c:pt idx="0">
                  <c:v>0.04</c:v>
                </c:pt>
                <c:pt idx="1">
                  <c:v>0.08</c:v>
                </c:pt>
              </c:numCache>
            </c:numRef>
          </c:val>
        </c:ser>
        <c:ser>
          <c:idx val="3"/>
          <c:order val="3"/>
          <c:tx>
            <c:strRef>
              <c:f>'[数据处理分析-教师-毕业生就业质量年度报告.xlsx]Sheet1'!$A$5</c:f>
              <c:strCache>
                <c:ptCount val="1"/>
                <c:pt idx="0">
                  <c:v>不满意</c:v>
                </c:pt>
              </c:strCache>
            </c:strRef>
          </c:tx>
          <c:spPr>
            <a:solidFill>
              <a:schemeClr val="accent4"/>
            </a:solidFill>
            <a:ln>
              <a:solidFill>
                <a:schemeClr val="bg1"/>
              </a:solidFill>
            </a:ln>
            <a:effectLst/>
          </c:spPr>
          <c:invertIfNegative val="0"/>
          <c:dLbls>
            <c:delete val="1"/>
          </c:dLbls>
          <c:cat>
            <c:strRef>
              <c:f>'[数据处理分析-教师-毕业生就业质量年度报告.xlsx]Sheet1'!$B$1:$C$1</c:f>
              <c:strCache>
                <c:ptCount val="2"/>
                <c:pt idx="0">
                  <c:v>学科专业</c:v>
                </c:pt>
                <c:pt idx="1">
                  <c:v>学生培养质量</c:v>
                </c:pt>
              </c:strCache>
            </c:strRef>
          </c:cat>
          <c:val>
            <c:numRef>
              <c:f>'[数据处理分析-教师-毕业生就业质量年度报告.xlsx]Sheet1'!$B$5:$C$5</c:f>
              <c:numCache>
                <c:formatCode>0.00%</c:formatCode>
                <c:ptCount val="2"/>
                <c:pt idx="0">
                  <c:v>0</c:v>
                </c:pt>
                <c:pt idx="1">
                  <c:v>0</c:v>
                </c:pt>
              </c:numCache>
            </c:numRef>
          </c:val>
        </c:ser>
        <c:dLbls>
          <c:showLegendKey val="0"/>
          <c:showVal val="0"/>
          <c:showCatName val="0"/>
          <c:showSerName val="0"/>
          <c:showPercent val="0"/>
          <c:showBubbleSize val="0"/>
        </c:dLbls>
        <c:gapWidth val="95"/>
        <c:overlap val="0"/>
        <c:axId val="623216455"/>
        <c:axId val="674581724"/>
      </c:barChart>
      <c:catAx>
        <c:axId val="623216455"/>
        <c:scaling>
          <c:orientation val="minMax"/>
        </c:scaling>
        <c:delete val="0"/>
        <c:axPos val="b"/>
        <c:numFmt formatCode="General" sourceLinked="1"/>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674581724"/>
        <c:crosses val="autoZero"/>
        <c:auto val="1"/>
        <c:lblAlgn val="ctr"/>
        <c:lblOffset val="100"/>
        <c:noMultiLvlLbl val="0"/>
      </c:catAx>
      <c:valAx>
        <c:axId val="674581724"/>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out"/>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62321645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Table>
      <c:spPr>
        <a:noFill/>
        <a:ln>
          <a:noFill/>
        </a:ln>
        <a:effectLst/>
      </c:spPr>
    </c:plotArea>
    <c:plotVisOnly val="1"/>
    <c:dispBlanksAs val="gap"/>
    <c:showDLblsOverMax val="0"/>
    <c:extLst>
      <c:ext uri="{0b15fc19-7d7d-44ad-8c2d-2c3a37ce22c3}">
        <chartProps xmlns="https://web.wps.cn/et/2018/main" chartId="{a53ef290-ada8-4519-a238-aa8c3e7831f0}"/>
      </c:ext>
    </c:extLst>
  </c:chart>
  <c:spPr>
    <a:solidFill>
      <a:schemeClr val="bg1"/>
    </a:solidFill>
    <a:ln w="6350"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我校就业指导服务课程评价</a:t>
            </a:r>
          </a:p>
        </c:rich>
      </c:tx>
      <c:layout/>
      <c:overlay val="0"/>
      <c:spPr>
        <a:noFill/>
        <a:ln>
          <a:noFill/>
        </a:ln>
        <a:effectLst/>
      </c:spPr>
    </c:title>
    <c:autoTitleDeleted val="0"/>
    <c:plotArea>
      <c:layout/>
      <c:barChart>
        <c:barDir val="col"/>
        <c:grouping val="clustered"/>
        <c:varyColors val="0"/>
        <c:ser>
          <c:idx val="0"/>
          <c:order val="0"/>
          <c:tx>
            <c:strRef>
              <c:f>'[数据处理分析-教师-毕业生就业质量年度报告.xlsx]Sheet1'!$A$23</c:f>
              <c:strCache>
                <c:ptCount val="1"/>
                <c:pt idx="0">
                  <c:v>很符合</c:v>
                </c:pt>
              </c:strCache>
            </c:strRef>
          </c:tx>
          <c:spPr>
            <a:solidFill>
              <a:schemeClr val="accent1"/>
            </a:solidFill>
            <a:ln>
              <a:noFill/>
            </a:ln>
            <a:effectLst/>
          </c:spPr>
          <c:invertIfNegative val="0"/>
          <c:dLbls>
            <c:delete val="1"/>
          </c:dLbls>
          <c:cat>
            <c:strRef>
              <c:f>'[数据处理分析-教师-毕业生就业质量年度报告.xlsx]Sheet1'!$B$22:$C$22</c:f>
              <c:strCache>
                <c:ptCount val="2"/>
                <c:pt idx="0">
                  <c:v>形式多样</c:v>
                </c:pt>
                <c:pt idx="1">
                  <c:v>符合学生需要</c:v>
                </c:pt>
              </c:strCache>
            </c:strRef>
          </c:cat>
          <c:val>
            <c:numRef>
              <c:f>'[数据处理分析-教师-毕业生就业质量年度报告.xlsx]Sheet1'!$B$23:$C$23</c:f>
              <c:numCache>
                <c:formatCode>0.00%</c:formatCode>
                <c:ptCount val="2"/>
                <c:pt idx="0">
                  <c:v>0.32</c:v>
                </c:pt>
                <c:pt idx="1">
                  <c:v>0.32</c:v>
                </c:pt>
              </c:numCache>
            </c:numRef>
          </c:val>
        </c:ser>
        <c:ser>
          <c:idx val="1"/>
          <c:order val="1"/>
          <c:tx>
            <c:strRef>
              <c:f>'[数据处理分析-教师-毕业生就业质量年度报告.xlsx]Sheet1'!$A$24</c:f>
              <c:strCache>
                <c:ptCount val="1"/>
                <c:pt idx="0">
                  <c:v>基本符合</c:v>
                </c:pt>
              </c:strCache>
            </c:strRef>
          </c:tx>
          <c:spPr>
            <a:solidFill>
              <a:schemeClr val="accent2"/>
            </a:solidFill>
            <a:ln>
              <a:noFill/>
            </a:ln>
            <a:effectLst/>
          </c:spPr>
          <c:invertIfNegative val="0"/>
          <c:dLbls>
            <c:delete val="1"/>
          </c:dLbls>
          <c:cat>
            <c:strRef>
              <c:f>'[数据处理分析-教师-毕业生就业质量年度报告.xlsx]Sheet1'!$B$22:$C$22</c:f>
              <c:strCache>
                <c:ptCount val="2"/>
                <c:pt idx="0">
                  <c:v>形式多样</c:v>
                </c:pt>
                <c:pt idx="1">
                  <c:v>符合学生需要</c:v>
                </c:pt>
              </c:strCache>
            </c:strRef>
          </c:cat>
          <c:val>
            <c:numRef>
              <c:f>'[数据处理分析-教师-毕业生就业质量年度报告.xlsx]Sheet1'!$B$24:$C$24</c:f>
              <c:numCache>
                <c:formatCode>0.00%</c:formatCode>
                <c:ptCount val="2"/>
                <c:pt idx="0">
                  <c:v>0.12</c:v>
                </c:pt>
                <c:pt idx="1">
                  <c:v>0.12</c:v>
                </c:pt>
              </c:numCache>
            </c:numRef>
          </c:val>
        </c:ser>
        <c:ser>
          <c:idx val="2"/>
          <c:order val="2"/>
          <c:tx>
            <c:strRef>
              <c:f>'[数据处理分析-教师-毕业生就业质量年度报告.xlsx]Sheet1'!$A$25</c:f>
              <c:strCache>
                <c:ptCount val="1"/>
                <c:pt idx="0">
                  <c:v>符合</c:v>
                </c:pt>
              </c:strCache>
            </c:strRef>
          </c:tx>
          <c:spPr>
            <a:solidFill>
              <a:schemeClr val="accent3"/>
            </a:solidFill>
            <a:ln>
              <a:noFill/>
            </a:ln>
            <a:effectLst/>
          </c:spPr>
          <c:invertIfNegative val="0"/>
          <c:dLbls>
            <c:delete val="1"/>
          </c:dLbls>
          <c:cat>
            <c:strRef>
              <c:f>'[数据处理分析-教师-毕业生就业质量年度报告.xlsx]Sheet1'!$B$22:$C$22</c:f>
              <c:strCache>
                <c:ptCount val="2"/>
                <c:pt idx="0">
                  <c:v>形式多样</c:v>
                </c:pt>
                <c:pt idx="1">
                  <c:v>符合学生需要</c:v>
                </c:pt>
              </c:strCache>
            </c:strRef>
          </c:cat>
          <c:val>
            <c:numRef>
              <c:f>'[数据处理分析-教师-毕业生就业质量年度报告.xlsx]Sheet1'!$B$25:$C$25</c:f>
              <c:numCache>
                <c:formatCode>0.00%</c:formatCode>
                <c:ptCount val="2"/>
                <c:pt idx="0">
                  <c:v>0.52</c:v>
                </c:pt>
                <c:pt idx="1">
                  <c:v>0.56</c:v>
                </c:pt>
              </c:numCache>
            </c:numRef>
          </c:val>
        </c:ser>
        <c:ser>
          <c:idx val="3"/>
          <c:order val="3"/>
          <c:tx>
            <c:strRef>
              <c:f>'[数据处理分析-教师-毕业生就业质量年度报告.xlsx]Sheet1'!$A$26</c:f>
              <c:strCache>
                <c:ptCount val="1"/>
                <c:pt idx="0">
                  <c:v>不符合</c:v>
                </c:pt>
              </c:strCache>
            </c:strRef>
          </c:tx>
          <c:spPr>
            <a:solidFill>
              <a:schemeClr val="accent4"/>
            </a:solidFill>
            <a:ln>
              <a:noFill/>
            </a:ln>
            <a:effectLst/>
          </c:spPr>
          <c:invertIfNegative val="0"/>
          <c:dLbls>
            <c:delete val="1"/>
          </c:dLbls>
          <c:cat>
            <c:strRef>
              <c:f>'[数据处理分析-教师-毕业生就业质量年度报告.xlsx]Sheet1'!$B$22:$C$22</c:f>
              <c:strCache>
                <c:ptCount val="2"/>
                <c:pt idx="0">
                  <c:v>形式多样</c:v>
                </c:pt>
                <c:pt idx="1">
                  <c:v>符合学生需要</c:v>
                </c:pt>
              </c:strCache>
            </c:strRef>
          </c:cat>
          <c:val>
            <c:numRef>
              <c:f>'[数据处理分析-教师-毕业生就业质量年度报告.xlsx]Sheet1'!$B$26:$C$26</c:f>
              <c:numCache>
                <c:formatCode>0.00%</c:formatCode>
                <c:ptCount val="2"/>
                <c:pt idx="0">
                  <c:v>0.04</c:v>
                </c:pt>
                <c:pt idx="1">
                  <c:v>0</c:v>
                </c:pt>
              </c:numCache>
            </c:numRef>
          </c:val>
        </c:ser>
        <c:dLbls>
          <c:showLegendKey val="0"/>
          <c:showVal val="0"/>
          <c:showCatName val="0"/>
          <c:showSerName val="0"/>
          <c:showPercent val="0"/>
          <c:showBubbleSize val="0"/>
        </c:dLbls>
        <c:gapWidth val="246"/>
        <c:overlap val="-28"/>
        <c:axId val="680137161"/>
        <c:axId val="937577407"/>
      </c:barChart>
      <c:catAx>
        <c:axId val="68013716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7577407"/>
        <c:crosses val="autoZero"/>
        <c:auto val="1"/>
        <c:lblAlgn val="ctr"/>
        <c:lblOffset val="100"/>
        <c:noMultiLvlLbl val="0"/>
      </c:catAx>
      <c:valAx>
        <c:axId val="937577407"/>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0137161"/>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498a833-6919-4bb8-bba5-ac846ed6d7f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withinLinear" id="19">
  <a:schemeClr val="accent6"/>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19">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873</Words>
  <Characters>1120</Characters>
  <Lines>47</Lines>
  <Paragraphs>13</Paragraphs>
  <TotalTime>0</TotalTime>
  <ScaleCrop>false</ScaleCrop>
  <LinksUpToDate>false</LinksUpToDate>
  <CharactersWithSpaces>1149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2020-12-24T19:13:00Z</dcterms:created>
  <dc:creator>janeyun0312@126.com</dc:creator>
  <cp:lastModifiedBy>     花.花 </cp:lastModifiedBy>
  <cp:lastPrinted>2024-12-25T09:47:00Z</cp:lastPrinted>
  <dcterms:modified xsi:type="dcterms:W3CDTF">2024-12-28T09:09:33Z</dcterms:modified>
  <cp:revision>332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66B1676528B94F32869F33139C88ED92_13</vt:lpwstr>
  </property>
  <property fmtid="{D5CDD505-2E9C-101B-9397-08002B2CF9AE}" pid="4" name="KSOTemplateDocerSaveRecord">
    <vt:lpwstr>eyJoZGlkIjoiZDM1YTZhYjBhNDQ2MGExN2ExOGJiODhhZDY5YTVkZjciLCJ1c2VySWQiOiIzMzEwNTIzMTcifQ==</vt:lpwstr>
  </property>
</Properties>
</file>