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bookmarkStart w:id="0" w:name="bookmark0"/>
      <w:bookmarkStart w:id="1" w:name="bookmark1"/>
      <w:bookmarkStart w:id="2" w:name="bookmark2"/>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52"/>
          <w:szCs w:val="32"/>
        </w:rPr>
        <w:t>内蒙古美术职业院</w:t>
      </w:r>
      <w:r>
        <w:rPr>
          <w:rFonts w:hint="eastAsia" w:ascii="方正小标宋简体" w:hAnsi="方正小标宋简体" w:eastAsia="方正小标宋简体" w:cs="方正小标宋简体"/>
          <w:b/>
          <w:bCs/>
          <w:sz w:val="52"/>
        </w:rPr>
        <w:t>人才培养方案</w:t>
      </w: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rPr>
          <w:rFonts w:hint="eastAsia" w:ascii="楷体_GB2312" w:hAnsi="宋体" w:eastAsia="楷体_GB2312"/>
          <w:b/>
          <w:bCs/>
          <w:color w:val="000000"/>
          <w:sz w:val="44"/>
        </w:rPr>
      </w:pPr>
    </w:p>
    <w:p>
      <w:pPr>
        <w:ind w:firstLine="1285" w:firstLineChars="400"/>
        <w:jc w:val="both"/>
        <w:rPr>
          <w:rFonts w:hint="eastAsia" w:ascii="楷体_GB2312" w:hAnsi="宋体" w:eastAsia="楷体_GB2312"/>
          <w:color w:val="000000"/>
          <w:sz w:val="28"/>
        </w:rPr>
      </w:pPr>
      <w:r>
        <w:rPr>
          <w:rFonts w:hint="eastAsia" w:ascii="仿宋" w:hAnsi="仿宋" w:eastAsia="仿宋" w:cs="仿宋"/>
          <w:b/>
          <w:bCs/>
          <w:sz w:val="32"/>
        </w:rPr>
        <w:t>专业学院(章)</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lang w:val="en-US" w:eastAsia="zh-CN"/>
        </w:rPr>
        <w:t xml:space="preserve">   </w:t>
      </w:r>
      <w:r>
        <w:rPr>
          <w:rFonts w:hint="eastAsia" w:ascii="仿宋" w:hAnsi="仿宋" w:eastAsia="仿宋" w:cs="仿宋"/>
          <w:b/>
          <w:bCs/>
          <w:sz w:val="32"/>
          <w:u w:val="single"/>
          <w:lang w:val="zh-CN"/>
        </w:rPr>
        <w:t>绘画与设计</w:t>
      </w:r>
      <w:r>
        <w:rPr>
          <w:rFonts w:hint="eastAsia" w:ascii="仿宋" w:hAnsi="仿宋" w:eastAsia="仿宋" w:cs="仿宋"/>
          <w:b/>
          <w:bCs/>
          <w:sz w:val="32"/>
          <w:u w:val="single"/>
          <w:lang w:val="en-US" w:eastAsia="zh-CN"/>
        </w:rPr>
        <w:t>学院</w:t>
      </w:r>
      <w:r>
        <w:rPr>
          <w:rFonts w:hint="eastAsia" w:ascii="宋体"/>
          <w:b/>
          <w:sz w:val="32"/>
          <w:u w:val="single"/>
          <w:lang w:val="en-US" w:eastAsia="zh-CN"/>
        </w:rPr>
        <w:t xml:space="preserve">    </w:t>
      </w:r>
    </w:p>
    <w:p>
      <w:pPr>
        <w:ind w:firstLine="1285" w:firstLineChars="400"/>
        <w:jc w:val="both"/>
        <w:rPr>
          <w:rFonts w:hint="default" w:ascii="宋体" w:eastAsia="宋体"/>
          <w:b/>
          <w:sz w:val="32"/>
          <w:u w:val="single"/>
          <w:lang w:val="en-US" w:eastAsia="zh-CN"/>
        </w:rPr>
      </w:pPr>
      <w:r>
        <w:rPr>
          <w:rFonts w:hint="eastAsia" w:ascii="仿宋" w:hAnsi="仿宋" w:eastAsia="仿宋" w:cs="仿宋"/>
          <w:b/>
          <w:bCs/>
          <w:sz w:val="32"/>
        </w:rPr>
        <w:t>专        业</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lang w:val="en-US" w:eastAsia="zh-CN"/>
        </w:rPr>
        <w:t xml:space="preserve">   </w:t>
      </w:r>
      <w:r>
        <w:rPr>
          <w:rFonts w:hint="eastAsia" w:ascii="仿宋" w:hAnsi="仿宋" w:eastAsia="仿宋" w:cs="仿宋"/>
          <w:b/>
          <w:bCs/>
          <w:sz w:val="32"/>
          <w:u w:val="single"/>
          <w:lang w:val="zh-CN" w:eastAsia="zh-CN"/>
        </w:rPr>
        <w:t>文化创意与策划</w:t>
      </w:r>
      <w:r>
        <w:rPr>
          <w:rFonts w:hint="eastAsia" w:ascii="仿宋" w:hAnsi="仿宋" w:eastAsia="仿宋" w:cs="仿宋"/>
          <w:b/>
          <w:bCs/>
          <w:sz w:val="32"/>
          <w:u w:val="single"/>
          <w:lang w:val="en-US" w:eastAsia="zh-CN"/>
        </w:rPr>
        <w:t xml:space="preserve">    </w:t>
      </w:r>
    </w:p>
    <w:p>
      <w:pPr>
        <w:ind w:firstLine="1285" w:firstLineChars="400"/>
        <w:jc w:val="both"/>
        <w:rPr>
          <w:rFonts w:hint="eastAsia" w:ascii="楷体_GB2312" w:hAnsi="宋体" w:eastAsia="楷体_GB2312"/>
          <w:b/>
          <w:bCs/>
          <w:color w:val="000000"/>
          <w:sz w:val="32"/>
          <w:u w:val="single"/>
          <w:lang w:val="en-US" w:eastAsia="zh-CN"/>
        </w:rPr>
      </w:pPr>
      <w:r>
        <w:rPr>
          <w:rFonts w:hint="eastAsia" w:ascii="仿宋" w:hAnsi="仿宋" w:eastAsia="仿宋" w:cs="仿宋"/>
          <w:b/>
          <w:bCs/>
          <w:sz w:val="32"/>
          <w:lang w:val="en-US" w:eastAsia="zh-CN"/>
        </w:rPr>
        <w:t>年        级</w:t>
      </w:r>
      <w:r>
        <w:rPr>
          <w:rFonts w:hint="eastAsia" w:ascii="宋体" w:eastAsia="宋体"/>
          <w:b/>
          <w:sz w:val="32"/>
          <w:u w:val="none"/>
          <w:lang w:val="en-US" w:eastAsia="zh-CN"/>
        </w:rPr>
        <w:t>：</w:t>
      </w:r>
      <w:r>
        <w:rPr>
          <w:rFonts w:hint="eastAsia" w:ascii="宋体" w:eastAsia="宋体"/>
          <w:b/>
          <w:sz w:val="32"/>
          <w:u w:val="single"/>
          <w:lang w:val="en-US" w:eastAsia="zh-CN"/>
        </w:rPr>
        <w:t xml:space="preserve">    </w:t>
      </w:r>
      <w:r>
        <w:rPr>
          <w:rFonts w:hint="eastAsia" w:ascii="宋体"/>
          <w:b/>
          <w:sz w:val="32"/>
          <w:u w:val="single"/>
          <w:lang w:val="en-US" w:eastAsia="zh-CN"/>
        </w:rPr>
        <w:t xml:space="preserve">   </w:t>
      </w:r>
      <w:r>
        <w:rPr>
          <w:rFonts w:hint="eastAsia" w:ascii="仿宋" w:hAnsi="仿宋" w:eastAsia="仿宋" w:cs="仿宋"/>
          <w:b/>
          <w:bCs/>
          <w:sz w:val="32"/>
          <w:u w:val="single"/>
          <w:lang w:val="en-US" w:eastAsia="zh-CN"/>
        </w:rPr>
        <w:t xml:space="preserve">2022级  </w:t>
      </w:r>
      <w:r>
        <w:rPr>
          <w:rFonts w:hint="eastAsia" w:ascii="宋体"/>
          <w:b/>
          <w:sz w:val="32"/>
          <w:u w:val="single"/>
          <w:lang w:val="en-US" w:eastAsia="zh-CN"/>
        </w:rPr>
        <w:t xml:space="preserve">      </w:t>
      </w:r>
    </w:p>
    <w:p>
      <w:pPr>
        <w:ind w:firstLine="1285" w:firstLineChars="400"/>
        <w:jc w:val="left"/>
        <w:rPr>
          <w:rFonts w:hint="default" w:ascii="楷体_GB2312" w:hAnsi="宋体" w:eastAsia="楷体_GB2312"/>
          <w:b/>
          <w:bCs/>
          <w:color w:val="000000"/>
          <w:sz w:val="32"/>
          <w:u w:val="single"/>
          <w:lang w:val="en-US"/>
        </w:rPr>
      </w:pPr>
      <w:r>
        <w:rPr>
          <w:rFonts w:hint="eastAsia" w:ascii="仿宋" w:hAnsi="仿宋" w:eastAsia="仿宋" w:cs="仿宋"/>
          <w:b/>
          <w:bCs/>
          <w:sz w:val="32"/>
          <w:lang w:val="en-US" w:eastAsia="zh-CN"/>
        </w:rPr>
        <w:t>修 业 年  限</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rPr>
        <w:t xml:space="preserve"> </w:t>
      </w:r>
      <w:r>
        <w:rPr>
          <w:rFonts w:hint="eastAsia" w:ascii="楷体_GB2312" w:hAnsi="宋体" w:eastAsia="楷体_GB2312"/>
          <w:b/>
          <w:bCs/>
          <w:color w:val="000000"/>
          <w:sz w:val="32"/>
          <w:u w:val="single"/>
          <w:lang w:val="en-US" w:eastAsia="zh-CN"/>
        </w:rPr>
        <w:t xml:space="preserve">   </w:t>
      </w:r>
      <w:r>
        <w:rPr>
          <w:rFonts w:hint="eastAsia" w:ascii="仿宋" w:hAnsi="仿宋" w:eastAsia="仿宋" w:cs="仿宋"/>
          <w:b/>
          <w:bCs/>
          <w:sz w:val="32"/>
          <w:u w:val="single"/>
          <w:lang w:val="en-US" w:eastAsia="zh-CN"/>
        </w:rPr>
        <w:t xml:space="preserve">    3年          </w:t>
      </w:r>
    </w:p>
    <w:p>
      <w:pPr>
        <w:rPr>
          <w:rFonts w:hint="eastAsia" w:ascii="楷体_GB2312" w:hAnsi="宋体" w:eastAsia="楷体_GB2312"/>
          <w:b/>
          <w:bCs/>
          <w:color w:val="000000"/>
          <w:sz w:val="32"/>
        </w:rPr>
      </w:pPr>
    </w:p>
    <w:p>
      <w:pPr>
        <w:rPr>
          <w:rFonts w:ascii="楷体_GB2312" w:hAnsi="宋体" w:eastAsia="楷体_GB2312"/>
          <w:b/>
          <w:bCs/>
          <w:color w:val="000000"/>
          <w:sz w:val="32"/>
        </w:rPr>
      </w:pPr>
    </w:p>
    <w:p>
      <w:pPr>
        <w:rPr>
          <w:rFonts w:ascii="楷体_GB2312" w:hAnsi="宋体" w:eastAsia="楷体_GB2312"/>
          <w:b/>
          <w:bCs/>
          <w:color w:val="000000"/>
          <w:sz w:val="32"/>
        </w:rPr>
      </w:pPr>
    </w:p>
    <w:p>
      <w:pPr>
        <w:rPr>
          <w:rFonts w:ascii="楷体_GB2312" w:hAnsi="宋体" w:eastAsia="楷体_GB2312"/>
          <w:b/>
          <w:bCs/>
          <w:color w:val="000000"/>
          <w:sz w:val="32"/>
        </w:rPr>
      </w:pPr>
    </w:p>
    <w:p>
      <w:pPr>
        <w:rPr>
          <w:rFonts w:hint="eastAsia" w:ascii="楷体_GB2312" w:hAnsi="宋体" w:eastAsia="楷体_GB2312"/>
          <w:b/>
          <w:bCs/>
          <w:color w:val="000000"/>
          <w:sz w:val="32"/>
          <w:highlight w:val="yellow"/>
        </w:rPr>
      </w:pPr>
    </w:p>
    <w:p>
      <w:pPr>
        <w:ind w:firstLine="1928" w:firstLineChars="600"/>
        <w:jc w:val="both"/>
        <w:rPr>
          <w:rFonts w:hint="eastAsia" w:ascii="仿宋" w:hAnsi="仿宋" w:eastAsia="仿宋" w:cs="仿宋"/>
          <w:b/>
          <w:bCs/>
          <w:sz w:val="32"/>
          <w:lang w:eastAsia="zh-CN"/>
        </w:rPr>
      </w:pPr>
      <w:r>
        <w:rPr>
          <w:rFonts w:hint="eastAsia" w:ascii="楷体_GB2312" w:hAnsi="宋体" w:eastAsia="楷体_GB2312"/>
          <w:b/>
          <w:bCs/>
          <w:color w:val="000000"/>
          <w:sz w:val="32"/>
          <w:highlight w:val="none"/>
        </w:rPr>
        <w:t xml:space="preserve"> </w:t>
      </w:r>
      <w:r>
        <w:rPr>
          <w:rFonts w:hint="eastAsia" w:ascii="仿宋" w:hAnsi="仿宋" w:eastAsia="仿宋" w:cs="仿宋"/>
          <w:b/>
          <w:bCs/>
          <w:sz w:val="32"/>
          <w:lang w:eastAsia="zh-CN"/>
        </w:rPr>
        <w:t>制定日期：  20</w:t>
      </w:r>
      <w:r>
        <w:rPr>
          <w:rFonts w:hint="eastAsia" w:ascii="仿宋" w:hAnsi="仿宋" w:eastAsia="仿宋" w:cs="仿宋"/>
          <w:b/>
          <w:bCs/>
          <w:sz w:val="32"/>
          <w:lang w:val="en-US" w:eastAsia="zh-CN"/>
        </w:rPr>
        <w:t>21</w:t>
      </w:r>
      <w:r>
        <w:rPr>
          <w:rFonts w:hint="eastAsia" w:ascii="仿宋" w:hAnsi="仿宋" w:eastAsia="仿宋" w:cs="仿宋"/>
          <w:b/>
          <w:bCs/>
          <w:sz w:val="32"/>
          <w:lang w:eastAsia="zh-CN"/>
        </w:rPr>
        <w:t xml:space="preserve">年 </w:t>
      </w:r>
      <w:r>
        <w:rPr>
          <w:rFonts w:hint="eastAsia" w:ascii="仿宋" w:hAnsi="仿宋" w:eastAsia="仿宋" w:cs="仿宋"/>
          <w:b/>
          <w:bCs/>
          <w:sz w:val="32"/>
          <w:lang w:val="en-US" w:eastAsia="zh-CN"/>
        </w:rPr>
        <w:t>8</w:t>
      </w:r>
      <w:r>
        <w:rPr>
          <w:rFonts w:hint="eastAsia" w:ascii="仿宋" w:hAnsi="仿宋" w:eastAsia="仿宋" w:cs="仿宋"/>
          <w:b/>
          <w:bCs/>
          <w:sz w:val="32"/>
          <w:lang w:eastAsia="zh-CN"/>
        </w:rPr>
        <w:t>月</w:t>
      </w:r>
      <w:r>
        <w:rPr>
          <w:rFonts w:hint="eastAsia" w:ascii="仿宋" w:hAnsi="仿宋" w:eastAsia="仿宋" w:cs="仿宋"/>
          <w:b/>
          <w:bCs/>
          <w:sz w:val="32"/>
          <w:lang w:val="en-US" w:eastAsia="zh-CN"/>
        </w:rPr>
        <w:t>15</w:t>
      </w:r>
      <w:r>
        <w:rPr>
          <w:rFonts w:hint="eastAsia" w:ascii="仿宋" w:hAnsi="仿宋" w:eastAsia="仿宋" w:cs="仿宋"/>
          <w:b/>
          <w:bCs/>
          <w:sz w:val="32"/>
          <w:lang w:eastAsia="zh-CN"/>
        </w:rPr>
        <w:t>日</w:t>
      </w:r>
    </w:p>
    <w:p>
      <w:pPr>
        <w:ind w:firstLine="1928" w:firstLineChars="600"/>
        <w:jc w:val="both"/>
        <w:rPr>
          <w:rFonts w:hint="eastAsia" w:ascii="楷体_GB2312" w:hAnsi="宋体" w:eastAsia="楷体_GB2312"/>
          <w:b/>
          <w:bCs/>
          <w:color w:val="000000"/>
          <w:sz w:val="32"/>
          <w:highlight w:val="none"/>
        </w:rPr>
      </w:pPr>
    </w:p>
    <w:p>
      <w:pPr>
        <w:jc w:val="both"/>
        <w:rPr>
          <w:rFonts w:hint="eastAsia" w:ascii="楷体_GB2312" w:hAnsi="宋体" w:eastAsia="楷体_GB2312"/>
          <w:b/>
          <w:bCs/>
          <w:color w:val="000000"/>
          <w:sz w:val="32"/>
          <w:highlight w:val="none"/>
        </w:rPr>
      </w:pPr>
    </w:p>
    <w:bookmarkEnd w:id="0"/>
    <w:bookmarkEnd w:id="1"/>
    <w:bookmarkEnd w:id="2"/>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562"/>
        <w:jc w:val="center"/>
        <w:textAlignment w:val="auto"/>
        <w:rPr>
          <w:rFonts w:hint="eastAsia" w:ascii="宋体" w:hAnsi="宋体" w:eastAsia="宋体" w:cs="宋体"/>
          <w:b/>
          <w:bCs/>
          <w:kern w:val="2"/>
          <w:sz w:val="32"/>
          <w:szCs w:val="32"/>
          <w:u w:val="none"/>
          <w:shd w:val="clear"/>
          <w:lang w:val="en-US" w:eastAsia="zh-CN" w:bidi="ar-SA"/>
        </w:rPr>
      </w:pPr>
      <w:r>
        <w:rPr>
          <w:rFonts w:hint="eastAsia" w:ascii="宋体" w:hAnsi="宋体" w:eastAsia="宋体" w:cs="宋体"/>
          <w:b/>
          <w:bCs/>
          <w:kern w:val="2"/>
          <w:sz w:val="32"/>
          <w:szCs w:val="32"/>
          <w:u w:val="none"/>
          <w:shd w:val="clear"/>
          <w:lang w:val="en-US" w:eastAsia="zh-CN" w:bidi="ar-SA"/>
        </w:rPr>
        <w:t>文化创意与策划专业人才培养方案</w:t>
      </w:r>
      <w:bookmarkStart w:id="3" w:name="bookmark4"/>
      <w:bookmarkStart w:id="4" w:name="bookmark5"/>
      <w:bookmarkStart w:id="5" w:name="bookmark3"/>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jc w:val="center"/>
        <w:textAlignment w:val="auto"/>
        <w:rPr>
          <w:rFonts w:hint="eastAsia" w:ascii="宋体" w:hAnsi="宋体" w:cs="宋体"/>
          <w:b/>
          <w:bCs/>
          <w:sz w:val="28"/>
          <w:szCs w:val="28"/>
          <w:lang w:val="en-US"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cs="宋体"/>
          <w:b/>
          <w:bCs/>
          <w:sz w:val="28"/>
          <w:szCs w:val="28"/>
          <w:lang w:eastAsia="zh-CN"/>
        </w:rPr>
        <w:t>年制）</w:t>
      </w:r>
    </w:p>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en-US" w:eastAsia="zh-CN" w:bidi="ar-SA"/>
        </w:rPr>
        <w:t>一</w:t>
      </w:r>
      <w:r>
        <w:rPr>
          <w:rFonts w:hint="eastAsia" w:ascii="仿宋_GB2312" w:hAnsi="仿宋_GB2312" w:eastAsia="仿宋_GB2312" w:cs="仿宋_GB2312"/>
          <w:b/>
          <w:bCs/>
          <w:kern w:val="2"/>
          <w:sz w:val="28"/>
          <w:szCs w:val="28"/>
          <w:u w:val="none"/>
          <w:shd w:val="clear"/>
          <w:lang w:val="zh-CN" w:eastAsia="zh-CN" w:bidi="ar-SA"/>
        </w:rPr>
        <w:t>、专业名称（专业代码）</w:t>
      </w:r>
      <w:bookmarkEnd w:id="3"/>
      <w:bookmarkEnd w:id="4"/>
      <w:bookmarkEnd w:id="5"/>
    </w:p>
    <w:p>
      <w:pPr>
        <w:keepNext w:val="0"/>
        <w:keepLines w:val="0"/>
        <w:pageBreakBefore w:val="0"/>
        <w:kinsoku/>
        <w:wordWrap/>
        <w:overflowPunct/>
        <w:topLinePunct w:val="0"/>
        <w:autoSpaceDE/>
        <w:autoSpaceDN/>
        <w:bidi w:val="0"/>
        <w:adjustRightInd w:val="0"/>
        <w:snapToGrid w:val="0"/>
        <w:spacing w:line="480" w:lineRule="exact"/>
        <w:ind w:left="3919" w:leftChars="266" w:hanging="3360" w:hangingChars="1200"/>
        <w:jc w:val="left"/>
        <w:textAlignment w:val="auto"/>
        <w:rPr>
          <w:rFonts w:hint="default" w:ascii="仿宋_GB2312" w:hAnsi="仿宋_GB2312" w:eastAsia="仿宋_GB2312" w:cs="仿宋_GB2312"/>
          <w:b/>
          <w:bCs/>
          <w:sz w:val="32"/>
          <w:szCs w:val="32"/>
          <w:lang w:val="en-US" w:eastAsia="zh-CN"/>
        </w:rPr>
      </w:pPr>
      <w:bookmarkStart w:id="6" w:name="bookmark7"/>
      <w:bookmarkStart w:id="7" w:name="bookmark6"/>
      <w:bookmarkStart w:id="8" w:name="bookmark8"/>
      <w:r>
        <w:rPr>
          <w:rFonts w:hint="eastAsia" w:ascii="仿宋_GB2312" w:hAnsi="仿宋_GB2312" w:eastAsia="仿宋_GB2312" w:cs="仿宋_GB2312"/>
          <w:sz w:val="28"/>
          <w:szCs w:val="28"/>
          <w:lang w:val="zh-CN" w:eastAsia="zh-CN"/>
        </w:rPr>
        <w:t>文化创意与策划</w:t>
      </w:r>
      <w:r>
        <w:rPr>
          <w:rFonts w:hint="eastAsia" w:ascii="仿宋_GB2312" w:hAnsi="仿宋_GB2312" w:eastAsia="仿宋_GB2312" w:cs="仿宋_GB2312"/>
          <w:sz w:val="28"/>
          <w:szCs w:val="28"/>
          <w:lang w:val="en-US" w:eastAsia="zh-CN"/>
        </w:rPr>
        <w:t xml:space="preserve"> 550401</w:t>
      </w:r>
    </w:p>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en-US" w:eastAsia="zh-CN" w:bidi="ar-SA"/>
        </w:rPr>
        <w:t>二、</w:t>
      </w:r>
      <w:r>
        <w:rPr>
          <w:rFonts w:hint="eastAsia" w:ascii="仿宋_GB2312" w:hAnsi="仿宋_GB2312" w:eastAsia="仿宋_GB2312" w:cs="仿宋_GB2312"/>
          <w:b/>
          <w:bCs/>
          <w:kern w:val="2"/>
          <w:sz w:val="28"/>
          <w:szCs w:val="28"/>
          <w:u w:val="none"/>
          <w:shd w:val="clear"/>
          <w:lang w:val="zh-CN" w:eastAsia="zh-CN" w:bidi="ar-SA"/>
        </w:rPr>
        <w:t>入学要求</w:t>
      </w:r>
      <w:bookmarkEnd w:id="6"/>
      <w:bookmarkEnd w:id="7"/>
      <w:bookmarkEnd w:id="8"/>
    </w:p>
    <w:p>
      <w:pPr>
        <w:snapToGrid w:val="0"/>
        <w:spacing w:before="0" w:beforeAutospacing="0" w:after="0" w:afterAutospacing="0" w:line="480" w:lineRule="exact"/>
        <w:ind w:firstLine="560" w:firstLineChars="200"/>
        <w:jc w:val="left"/>
        <w:textAlignment w:val="baseline"/>
        <w:rPr>
          <w:rFonts w:hint="eastAsia" w:ascii="仿宋_GB2312" w:hAnsi="仿宋_GB2312" w:eastAsia="仿宋_GB2312" w:cs="仿宋_GB2312"/>
          <w:sz w:val="28"/>
          <w:szCs w:val="28"/>
          <w:lang w:val="en-US" w:eastAsia="zh-CN" w:bidi="ar-SA"/>
        </w:rPr>
      </w:pPr>
      <w:bookmarkStart w:id="9" w:name="bookmark11"/>
      <w:bookmarkStart w:id="10" w:name="bookmark12"/>
      <w:bookmarkStart w:id="11" w:name="bookmark9"/>
      <w:bookmarkStart w:id="12" w:name="bookmark10"/>
      <w:r>
        <w:rPr>
          <w:rFonts w:hint="eastAsia" w:ascii="仿宋_GB2312" w:hAnsi="仿宋_GB2312" w:eastAsia="仿宋_GB2312" w:cs="仿宋_GB2312"/>
          <w:sz w:val="28"/>
          <w:szCs w:val="28"/>
          <w:lang w:val="en-US" w:eastAsia="zh-CN" w:bidi="ar-SA"/>
        </w:rPr>
        <w:t>普通高级中学毕业、中等职业学校毕业或具备同等学力</w:t>
      </w:r>
      <w:bookmarkStart w:id="41" w:name="_GoBack"/>
      <w:bookmarkEnd w:id="41"/>
    </w:p>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zh-CN" w:eastAsia="zh-CN" w:bidi="ar-SA"/>
        </w:rPr>
        <w:t>三</w:t>
      </w:r>
      <w:bookmarkEnd w:id="9"/>
      <w:r>
        <w:rPr>
          <w:rFonts w:hint="eastAsia" w:ascii="仿宋_GB2312" w:hAnsi="仿宋_GB2312" w:eastAsia="仿宋_GB2312" w:cs="仿宋_GB2312"/>
          <w:b/>
          <w:bCs/>
          <w:kern w:val="2"/>
          <w:sz w:val="28"/>
          <w:szCs w:val="28"/>
          <w:u w:val="none"/>
          <w:shd w:val="clear"/>
          <w:lang w:val="zh-CN" w:eastAsia="zh-CN" w:bidi="ar-SA"/>
        </w:rPr>
        <w:t>、基本修业年限</w:t>
      </w:r>
      <w:bookmarkEnd w:id="10"/>
      <w:bookmarkEnd w:id="11"/>
      <w:bookmarkEnd w:id="12"/>
    </w:p>
    <w:p>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eastAsia="zh-CN"/>
        </w:rPr>
      </w:pPr>
      <w:bookmarkStart w:id="13" w:name="bookmark15"/>
      <w:bookmarkStart w:id="14" w:name="bookmark16"/>
      <w:bookmarkStart w:id="15" w:name="bookmark14"/>
      <w:bookmarkStart w:id="16" w:name="bookmark13"/>
      <w:r>
        <w:rPr>
          <w:rFonts w:hint="eastAsia" w:ascii="仿宋_GB2312" w:hAnsi="仿宋_GB2312" w:eastAsia="仿宋_GB2312" w:cs="仿宋_GB2312"/>
          <w:kern w:val="2"/>
          <w:sz w:val="28"/>
          <w:szCs w:val="28"/>
          <w:u w:val="none"/>
          <w:shd w:val="clear" w:color="auto" w:fill="auto"/>
          <w:lang w:val="zh-CN" w:eastAsia="zh-CN" w:bidi="ar-SA"/>
        </w:rPr>
        <w:t>标准修业年限为</w:t>
      </w:r>
      <w:r>
        <w:rPr>
          <w:rFonts w:hint="eastAsia" w:ascii="仿宋_GB2312" w:hAnsi="仿宋_GB2312" w:eastAsia="仿宋_GB2312" w:cs="仿宋_GB2312"/>
          <w:kern w:val="2"/>
          <w:sz w:val="28"/>
          <w:szCs w:val="28"/>
          <w:u w:val="none"/>
          <w:shd w:val="clear" w:color="auto" w:fill="auto"/>
          <w:lang w:val="en-US" w:eastAsia="zh-CN" w:bidi="ar-SA"/>
        </w:rPr>
        <w:t>3</w:t>
      </w:r>
      <w:r>
        <w:rPr>
          <w:rFonts w:hint="eastAsia" w:ascii="仿宋_GB2312" w:hAnsi="仿宋_GB2312" w:eastAsia="仿宋_GB2312" w:cs="仿宋_GB2312"/>
          <w:kern w:val="2"/>
          <w:sz w:val="28"/>
          <w:szCs w:val="28"/>
          <w:u w:val="none"/>
          <w:shd w:val="clear" w:color="auto" w:fill="auto"/>
          <w:lang w:val="zh-CN" w:eastAsia="zh-CN" w:bidi="ar-SA"/>
        </w:rPr>
        <w:t>年</w:t>
      </w:r>
    </w:p>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zh-CN" w:eastAsia="zh-CN" w:bidi="ar-SA"/>
        </w:rPr>
        <w:t>四</w:t>
      </w:r>
      <w:bookmarkEnd w:id="13"/>
      <w:r>
        <w:rPr>
          <w:rFonts w:hint="eastAsia" w:ascii="仿宋_GB2312" w:hAnsi="仿宋_GB2312" w:eastAsia="仿宋_GB2312" w:cs="仿宋_GB2312"/>
          <w:b/>
          <w:bCs/>
          <w:kern w:val="2"/>
          <w:sz w:val="28"/>
          <w:szCs w:val="28"/>
          <w:u w:val="none"/>
          <w:shd w:val="clear"/>
          <w:lang w:val="zh-CN" w:eastAsia="zh-CN" w:bidi="ar-SA"/>
        </w:rPr>
        <w:t>、职业面向</w:t>
      </w:r>
      <w:bookmarkEnd w:id="14"/>
      <w:bookmarkEnd w:id="15"/>
      <w:bookmarkEnd w:id="16"/>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leftChars="0" w:right="0" w:firstLine="560" w:firstLineChars="200"/>
        <w:jc w:val="left"/>
        <w:textAlignment w:val="auto"/>
        <w:rPr>
          <w:rFonts w:hint="eastAsia" w:ascii="仿宋_GB2312" w:hAnsi="仿宋_GB2312" w:eastAsia="仿宋_GB2312" w:cs="仿宋_GB2312"/>
          <w:kern w:val="2"/>
          <w:sz w:val="28"/>
          <w:szCs w:val="28"/>
          <w:u w:val="none"/>
          <w:shd w:val="clear"/>
          <w:lang w:val="en-US" w:eastAsia="zh-CN" w:bidi="ar-SA"/>
        </w:rPr>
      </w:pPr>
      <w:r>
        <w:rPr>
          <w:rFonts w:hint="eastAsia" w:ascii="仿宋_GB2312" w:hAnsi="仿宋_GB2312" w:eastAsia="仿宋_GB2312" w:cs="仿宋_GB2312"/>
          <w:kern w:val="2"/>
          <w:sz w:val="28"/>
          <w:szCs w:val="28"/>
          <w:u w:val="none"/>
          <w:shd w:val="clear"/>
          <w:lang w:val="en-US" w:eastAsia="zh-CN" w:bidi="ar-SA"/>
        </w:rPr>
        <w:t>面向数字文化创意设计、文化活动服务与指导、工艺美术与创意设计、数字文化创意内容制作服务、新型媒体服务等岗位（群）。</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leftChars="0" w:right="0" w:firstLine="0" w:firstLineChars="0"/>
        <w:jc w:val="center"/>
        <w:textAlignment w:val="auto"/>
        <w:rPr>
          <w:rFonts w:hint="eastAsia" w:ascii="仿宋_GB2312" w:hAnsi="仿宋_GB2312" w:eastAsia="仿宋_GB2312" w:cs="仿宋_GB2312"/>
          <w:kern w:val="2"/>
          <w:sz w:val="24"/>
          <w:szCs w:val="24"/>
          <w:u w:val="none"/>
          <w:shd w:val="clear" w:color="auto" w:fill="auto"/>
          <w:lang w:val="zh-CN" w:eastAsia="zh-CN" w:bidi="ar-SA"/>
        </w:rPr>
      </w:pPr>
      <w:r>
        <w:rPr>
          <w:rFonts w:hint="eastAsia" w:ascii="仿宋_GB2312" w:hAnsi="仿宋_GB2312" w:eastAsia="仿宋_GB2312" w:cs="仿宋_GB2312"/>
          <w:kern w:val="2"/>
          <w:sz w:val="24"/>
          <w:szCs w:val="24"/>
          <w:u w:val="none"/>
          <w:shd w:val="clear" w:color="auto" w:fill="auto"/>
          <w:lang w:val="en-US" w:eastAsia="zh-CN" w:bidi="ar-SA"/>
        </w:rPr>
        <w:t>表</w:t>
      </w:r>
      <w:r>
        <w:rPr>
          <w:rFonts w:hint="eastAsia" w:ascii="仿宋_GB2312" w:hAnsi="仿宋_GB2312" w:eastAsia="仿宋_GB2312" w:cs="仿宋_GB2312"/>
          <w:kern w:val="2"/>
          <w:sz w:val="24"/>
          <w:szCs w:val="24"/>
          <w:u w:val="none"/>
          <w:shd w:val="clear" w:color="auto" w:fill="auto"/>
          <w:lang w:val="zh-CN" w:eastAsia="zh-CN" w:bidi="ar-SA"/>
        </w:rPr>
        <w:t>1</w:t>
      </w:r>
      <w:r>
        <w:rPr>
          <w:rFonts w:hint="eastAsia" w:ascii="仿宋_GB2312" w:hAnsi="仿宋_GB2312" w:eastAsia="仿宋_GB2312" w:cs="仿宋_GB2312"/>
          <w:kern w:val="2"/>
          <w:sz w:val="24"/>
          <w:szCs w:val="24"/>
          <w:u w:val="none"/>
          <w:shd w:val="clear" w:color="auto" w:fill="auto"/>
          <w:lang w:val="en-US" w:eastAsia="zh-CN" w:bidi="ar-SA"/>
        </w:rPr>
        <w:t xml:space="preserve"> </w:t>
      </w:r>
      <w:r>
        <w:rPr>
          <w:rFonts w:hint="eastAsia" w:ascii="仿宋_GB2312" w:hAnsi="仿宋_GB2312" w:eastAsia="仿宋_GB2312" w:cs="仿宋_GB2312"/>
          <w:kern w:val="2"/>
          <w:sz w:val="24"/>
          <w:szCs w:val="24"/>
          <w:u w:val="none"/>
          <w:shd w:val="clear" w:color="auto" w:fill="auto"/>
          <w:lang w:val="zh-CN" w:eastAsia="zh-CN" w:bidi="ar-SA"/>
        </w:rPr>
        <w:t>本专业职业面向</w:t>
      </w:r>
    </w:p>
    <w:tbl>
      <w:tblPr>
        <w:tblStyle w:val="2"/>
        <w:tblW w:w="837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6" w:type="dxa"/>
          <w:bottom w:w="0" w:type="dxa"/>
          <w:right w:w="36" w:type="dxa"/>
        </w:tblCellMar>
      </w:tblPr>
      <w:tblGrid>
        <w:gridCol w:w="1207"/>
        <w:gridCol w:w="1313"/>
        <w:gridCol w:w="1120"/>
        <w:gridCol w:w="1566"/>
        <w:gridCol w:w="31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6" w:type="dxa"/>
            <w:bottom w:w="0" w:type="dxa"/>
            <w:right w:w="36" w:type="dxa"/>
          </w:tblCellMar>
        </w:tblPrEx>
        <w:trPr>
          <w:trHeight w:val="449" w:hRule="atLeast"/>
        </w:trPr>
        <w:tc>
          <w:tcPr>
            <w:tcW w:w="1207" w:type="dxa"/>
            <w:tcBorders>
              <w:top w:val="single" w:color="000000" w:sz="4" w:space="0"/>
              <w:left w:val="single" w:color="000000" w:sz="4" w:space="0"/>
              <w:bottom w:val="single" w:color="000000" w:sz="4" w:space="0"/>
              <w:right w:val="single" w:color="000000" w:sz="4" w:space="0"/>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color w:val="000000"/>
                <w:kern w:val="2"/>
                <w:sz w:val="22"/>
                <w:szCs w:val="22"/>
                <w:u w:val="none"/>
                <w:shd w:val="clear" w:color="auto" w:fill="auto"/>
                <w:lang w:val="zh-TW" w:eastAsia="zh-CN" w:bidi="zh-TW"/>
              </w:rPr>
            </w:pPr>
            <w:bookmarkStart w:id="17" w:name="bookmark19"/>
            <w:bookmarkStart w:id="18" w:name="bookmark20"/>
            <w:bookmarkStart w:id="19" w:name="bookmark18"/>
            <w:bookmarkStart w:id="20" w:name="bookmark17"/>
            <w:r>
              <w:rPr>
                <w:rFonts w:hint="eastAsia" w:ascii="仿宋" w:hAnsi="仿宋" w:eastAsia="仿宋" w:cs="仿宋"/>
                <w:b/>
                <w:bCs/>
                <w:color w:val="000000"/>
                <w:kern w:val="2"/>
                <w:sz w:val="22"/>
                <w:szCs w:val="22"/>
                <w:u w:val="none"/>
                <w:shd w:val="clear" w:color="auto" w:fill="auto"/>
                <w:lang w:val="zh-TW" w:eastAsia="zh-CN" w:bidi="zh-TW"/>
              </w:rPr>
              <w:t>属专业大类</w:t>
            </w:r>
          </w:p>
        </w:tc>
        <w:tc>
          <w:tcPr>
            <w:tcW w:w="1313" w:type="dxa"/>
            <w:tcBorders>
              <w:top w:val="single" w:color="000000" w:sz="4" w:space="0"/>
              <w:left w:val="single" w:color="000000" w:sz="4" w:space="0"/>
              <w:bottom w:val="single" w:color="000000" w:sz="4" w:space="0"/>
              <w:right w:val="single" w:color="000000" w:sz="4" w:space="0"/>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b/>
                <w:bCs/>
                <w:color w:val="000000"/>
                <w:kern w:val="2"/>
                <w:sz w:val="22"/>
                <w:szCs w:val="22"/>
                <w:u w:val="none"/>
                <w:shd w:val="clear" w:color="auto" w:fill="auto"/>
                <w:lang w:val="zh-TW" w:eastAsia="zh-TW" w:bidi="zh-TW"/>
              </w:rPr>
            </w:pPr>
            <w:r>
              <w:rPr>
                <w:rFonts w:hint="default" w:ascii="仿宋" w:hAnsi="仿宋" w:eastAsia="仿宋" w:cs="仿宋"/>
                <w:b/>
                <w:bCs/>
                <w:color w:val="000000"/>
                <w:kern w:val="2"/>
                <w:sz w:val="22"/>
                <w:szCs w:val="22"/>
                <w:u w:val="none"/>
                <w:shd w:val="clear" w:color="auto" w:fill="auto"/>
                <w:lang w:val="zh-TW" w:eastAsia="zh-TW" w:bidi="zh-TW"/>
              </w:rPr>
              <w:t>所属专业类</w:t>
            </w:r>
          </w:p>
        </w:tc>
        <w:tc>
          <w:tcPr>
            <w:tcW w:w="1120" w:type="dxa"/>
            <w:tcBorders>
              <w:top w:val="single" w:color="000000" w:sz="4" w:space="0"/>
              <w:left w:val="single" w:color="000000" w:sz="4" w:space="0"/>
              <w:bottom w:val="single" w:color="000000" w:sz="4" w:space="0"/>
              <w:right w:val="single" w:color="000000" w:sz="4" w:space="0"/>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b/>
                <w:bCs/>
                <w:color w:val="000000"/>
                <w:kern w:val="2"/>
                <w:sz w:val="22"/>
                <w:szCs w:val="22"/>
                <w:u w:val="none"/>
                <w:shd w:val="clear" w:color="auto" w:fill="auto"/>
                <w:lang w:val="zh-TW" w:eastAsia="zh-TW" w:bidi="zh-TW"/>
              </w:rPr>
            </w:pPr>
            <w:r>
              <w:rPr>
                <w:rFonts w:hint="default" w:ascii="仿宋" w:hAnsi="仿宋" w:eastAsia="仿宋" w:cs="仿宋"/>
                <w:b/>
                <w:bCs/>
                <w:color w:val="000000"/>
                <w:kern w:val="2"/>
                <w:sz w:val="22"/>
                <w:szCs w:val="22"/>
                <w:u w:val="none"/>
                <w:shd w:val="clear" w:color="auto" w:fill="auto"/>
                <w:lang w:val="zh-TW" w:eastAsia="zh-TW" w:bidi="zh-TW"/>
              </w:rPr>
              <w:t>对应行业</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b/>
                <w:bCs/>
                <w:color w:val="000000"/>
                <w:kern w:val="2"/>
                <w:sz w:val="22"/>
                <w:szCs w:val="22"/>
                <w:u w:val="none"/>
                <w:shd w:val="clear" w:color="auto" w:fill="auto"/>
                <w:lang w:val="zh-CN" w:eastAsia="zh-TW" w:bidi="zh-TW"/>
              </w:rPr>
            </w:pPr>
            <w:r>
              <w:rPr>
                <w:rFonts w:hint="default" w:ascii="仿宋" w:hAnsi="仿宋" w:eastAsia="仿宋" w:cs="仿宋"/>
                <w:b/>
                <w:bCs/>
                <w:color w:val="000000"/>
                <w:kern w:val="2"/>
                <w:sz w:val="22"/>
                <w:szCs w:val="22"/>
                <w:u w:val="none"/>
                <w:shd w:val="clear" w:color="auto" w:fill="auto"/>
                <w:lang w:val="zh-TW" w:eastAsia="zh-TW" w:bidi="zh-TW"/>
              </w:rPr>
              <w:t>主要职业类别</w:t>
            </w:r>
          </w:p>
        </w:tc>
        <w:tc>
          <w:tcPr>
            <w:tcW w:w="3165" w:type="dxa"/>
            <w:tcBorders>
              <w:top w:val="single" w:color="000000" w:sz="4" w:space="0"/>
              <w:left w:val="single" w:color="000000" w:sz="4" w:space="0"/>
              <w:bottom w:val="single" w:color="000000" w:sz="4" w:space="0"/>
              <w:right w:val="single" w:color="000000" w:sz="4" w:space="0"/>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b/>
                <w:bCs/>
                <w:color w:val="000000"/>
                <w:kern w:val="2"/>
                <w:sz w:val="22"/>
                <w:szCs w:val="22"/>
                <w:u w:val="none"/>
                <w:shd w:val="clear" w:color="auto" w:fill="auto"/>
                <w:lang w:val="zh-TW" w:eastAsia="zh-TW" w:bidi="zh-TW"/>
              </w:rPr>
            </w:pPr>
            <w:r>
              <w:rPr>
                <w:rFonts w:hint="default" w:ascii="仿宋" w:hAnsi="仿宋" w:eastAsia="仿宋" w:cs="仿宋"/>
                <w:b/>
                <w:bCs/>
                <w:color w:val="000000"/>
                <w:kern w:val="2"/>
                <w:sz w:val="22"/>
                <w:szCs w:val="22"/>
                <w:u w:val="none"/>
                <w:shd w:val="clear" w:color="auto" w:fill="auto"/>
                <w:lang w:val="zh-TW" w:eastAsia="zh-TW" w:bidi="zh-TW"/>
              </w:rPr>
              <w:t>主要岗位类别(或技术领域)举例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6" w:type="dxa"/>
            <w:bottom w:w="0" w:type="dxa"/>
            <w:right w:w="36" w:type="dxa"/>
          </w:tblCellMar>
        </w:tblPrEx>
        <w:trPr>
          <w:trHeight w:val="889" w:hRule="atLeast"/>
        </w:trPr>
        <w:tc>
          <w:tcPr>
            <w:tcW w:w="12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color w:val="000000"/>
                <w:kern w:val="2"/>
                <w:sz w:val="22"/>
                <w:szCs w:val="22"/>
                <w:u w:val="none"/>
                <w:shd w:val="clear" w:color="auto" w:fill="auto"/>
                <w:lang w:val="en-US" w:eastAsia="zh-CN" w:bidi="zh-TW"/>
              </w:rPr>
            </w:pPr>
            <w:r>
              <w:rPr>
                <w:rFonts w:hint="eastAsia" w:ascii="仿宋" w:hAnsi="仿宋" w:eastAsia="仿宋" w:cs="仿宋"/>
                <w:color w:val="000000"/>
                <w:kern w:val="2"/>
                <w:sz w:val="22"/>
                <w:szCs w:val="22"/>
                <w:u w:val="none"/>
                <w:shd w:val="clear" w:color="auto" w:fill="auto"/>
                <w:lang w:val="en-US" w:eastAsia="zh-CN" w:bidi="zh-TW"/>
              </w:rPr>
              <w:t>文化艺术类</w:t>
            </w:r>
          </w:p>
        </w:tc>
        <w:tc>
          <w:tcPr>
            <w:tcW w:w="131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color w:val="000000"/>
                <w:kern w:val="2"/>
                <w:sz w:val="22"/>
                <w:szCs w:val="22"/>
                <w:u w:val="none"/>
                <w:shd w:val="clear" w:color="auto" w:fill="auto"/>
                <w:lang w:val="zh-CN" w:eastAsia="zh-TW" w:bidi="zh-TW"/>
              </w:rPr>
            </w:pPr>
            <w:r>
              <w:rPr>
                <w:rFonts w:hint="default" w:ascii="仿宋" w:hAnsi="仿宋" w:eastAsia="仿宋" w:cs="仿宋"/>
                <w:color w:val="000000"/>
                <w:kern w:val="2"/>
                <w:sz w:val="22"/>
                <w:szCs w:val="22"/>
                <w:u w:val="none"/>
                <w:shd w:val="clear" w:color="auto" w:fill="auto"/>
                <w:lang w:val="zh-CN" w:eastAsia="zh-TW" w:bidi="zh-TW"/>
              </w:rPr>
              <w:t>文化服务类</w:t>
            </w:r>
          </w:p>
        </w:tc>
        <w:tc>
          <w:tcPr>
            <w:tcW w:w="112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color w:val="000000"/>
                <w:kern w:val="2"/>
                <w:sz w:val="22"/>
                <w:szCs w:val="22"/>
                <w:u w:val="none"/>
                <w:shd w:val="clear" w:color="auto" w:fill="auto"/>
                <w:lang w:val="zh-CN" w:eastAsia="zh-TW" w:bidi="zh-TW"/>
              </w:rPr>
            </w:pPr>
            <w:r>
              <w:rPr>
                <w:rFonts w:hint="default" w:ascii="仿宋" w:hAnsi="仿宋" w:eastAsia="仿宋" w:cs="仿宋"/>
                <w:color w:val="000000"/>
                <w:kern w:val="2"/>
                <w:sz w:val="22"/>
                <w:szCs w:val="22"/>
                <w:u w:val="none"/>
                <w:shd w:val="clear" w:color="auto" w:fill="auto"/>
                <w:lang w:val="zh-CN" w:eastAsia="zh-TW" w:bidi="zh-TW"/>
              </w:rPr>
              <w:t>文化活动服务</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仿宋" w:hAnsi="仿宋" w:eastAsia="仿宋" w:cs="仿宋"/>
                <w:color w:val="000000"/>
                <w:kern w:val="2"/>
                <w:sz w:val="22"/>
                <w:szCs w:val="22"/>
                <w:u w:val="none"/>
                <w:shd w:val="clear" w:color="auto" w:fill="auto"/>
                <w:lang w:val="zh-TW" w:eastAsia="zh-TW" w:bidi="zh-TW"/>
              </w:rPr>
            </w:pPr>
            <w:r>
              <w:rPr>
                <w:rFonts w:hint="default" w:ascii="仿宋" w:hAnsi="仿宋" w:eastAsia="仿宋" w:cs="仿宋"/>
                <w:color w:val="000000"/>
                <w:kern w:val="2"/>
                <w:sz w:val="22"/>
                <w:szCs w:val="22"/>
                <w:u w:val="none"/>
                <w:shd w:val="clear" w:color="auto" w:fill="auto"/>
                <w:lang w:val="zh-TW" w:eastAsia="zh-TW" w:bidi="zh-TW"/>
              </w:rPr>
              <w:t>设计师、项目经理</w:t>
            </w:r>
          </w:p>
        </w:tc>
        <w:tc>
          <w:tcPr>
            <w:tcW w:w="31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default" w:ascii="仿宋" w:hAnsi="仿宋" w:eastAsia="仿宋" w:cs="仿宋"/>
                <w:color w:val="000000"/>
                <w:kern w:val="2"/>
                <w:sz w:val="22"/>
                <w:szCs w:val="22"/>
                <w:u w:val="none"/>
                <w:shd w:val="clear" w:color="auto" w:fill="auto"/>
                <w:lang w:val="zh-TW" w:eastAsia="zh-TW" w:bidi="zh-TW"/>
              </w:rPr>
            </w:pPr>
            <w:r>
              <w:rPr>
                <w:rFonts w:hint="default" w:ascii="仿宋" w:hAnsi="仿宋" w:eastAsia="仿宋" w:cs="仿宋"/>
                <w:color w:val="000000"/>
                <w:kern w:val="2"/>
                <w:sz w:val="22"/>
                <w:szCs w:val="22"/>
                <w:u w:val="none"/>
                <w:shd w:val="clear" w:color="auto" w:fill="auto"/>
                <w:lang w:val="zh-TW" w:eastAsia="zh-TW" w:bidi="zh-TW"/>
              </w:rPr>
              <w:t>新媒体运营</w:t>
            </w:r>
            <w:r>
              <w:rPr>
                <w:rFonts w:hint="eastAsia" w:ascii="仿宋" w:hAnsi="仿宋" w:eastAsia="仿宋" w:cs="仿宋"/>
                <w:color w:val="000000"/>
                <w:kern w:val="2"/>
                <w:sz w:val="22"/>
                <w:szCs w:val="22"/>
                <w:u w:val="none"/>
                <w:shd w:val="clear" w:color="auto" w:fill="auto"/>
                <w:lang w:val="zh-TW" w:eastAsia="zh-CN" w:bidi="zh-TW"/>
              </w:rPr>
              <w:t>、</w:t>
            </w:r>
            <w:r>
              <w:rPr>
                <w:rFonts w:hint="default" w:ascii="仿宋" w:hAnsi="仿宋" w:eastAsia="仿宋" w:cs="仿宋"/>
                <w:color w:val="000000"/>
                <w:kern w:val="2"/>
                <w:sz w:val="22"/>
                <w:szCs w:val="22"/>
                <w:u w:val="none"/>
                <w:shd w:val="clear" w:color="auto" w:fill="auto"/>
                <w:lang w:val="zh-TW" w:eastAsia="zh-TW" w:bidi="zh-TW"/>
              </w:rPr>
              <w:t>文案策划</w:t>
            </w:r>
            <w:r>
              <w:rPr>
                <w:rFonts w:hint="eastAsia" w:ascii="仿宋" w:hAnsi="仿宋" w:eastAsia="仿宋" w:cs="仿宋"/>
                <w:color w:val="000000"/>
                <w:kern w:val="2"/>
                <w:sz w:val="22"/>
                <w:szCs w:val="22"/>
                <w:u w:val="none"/>
                <w:shd w:val="clear" w:color="auto" w:fill="auto"/>
                <w:lang w:val="zh-TW" w:eastAsia="zh-CN" w:bidi="zh-TW"/>
              </w:rPr>
              <w:t>、</w:t>
            </w:r>
            <w:r>
              <w:rPr>
                <w:rFonts w:hint="default" w:ascii="仿宋" w:hAnsi="仿宋" w:eastAsia="仿宋" w:cs="仿宋"/>
                <w:color w:val="000000"/>
                <w:kern w:val="2"/>
                <w:sz w:val="22"/>
                <w:szCs w:val="22"/>
                <w:u w:val="none"/>
                <w:shd w:val="clear" w:color="auto" w:fill="auto"/>
                <w:lang w:val="zh-TW" w:eastAsia="zh-TW" w:bidi="zh-TW"/>
              </w:rPr>
              <w:t>创意总监</w:t>
            </w:r>
            <w:r>
              <w:rPr>
                <w:rFonts w:hint="eastAsia" w:ascii="仿宋" w:hAnsi="仿宋" w:eastAsia="仿宋" w:cs="仿宋"/>
                <w:color w:val="000000"/>
                <w:kern w:val="2"/>
                <w:sz w:val="22"/>
                <w:szCs w:val="22"/>
                <w:u w:val="none"/>
                <w:shd w:val="clear" w:color="auto" w:fill="auto"/>
                <w:lang w:val="zh-TW" w:eastAsia="zh-CN" w:bidi="zh-TW"/>
              </w:rPr>
              <w:t>、</w:t>
            </w:r>
            <w:r>
              <w:rPr>
                <w:rFonts w:hint="default" w:ascii="仿宋" w:hAnsi="仿宋" w:eastAsia="仿宋" w:cs="仿宋"/>
                <w:color w:val="000000"/>
                <w:kern w:val="2"/>
                <w:sz w:val="22"/>
                <w:szCs w:val="22"/>
                <w:u w:val="none"/>
                <w:shd w:val="clear" w:color="auto" w:fill="auto"/>
                <w:lang w:val="zh-TW" w:eastAsia="zh-TW" w:bidi="zh-TW"/>
              </w:rPr>
              <w:t>品牌策划</w:t>
            </w:r>
            <w:r>
              <w:rPr>
                <w:rFonts w:hint="eastAsia" w:ascii="仿宋" w:hAnsi="仿宋" w:eastAsia="仿宋" w:cs="仿宋"/>
                <w:color w:val="000000"/>
                <w:kern w:val="2"/>
                <w:sz w:val="22"/>
                <w:szCs w:val="22"/>
                <w:u w:val="none"/>
                <w:shd w:val="clear" w:color="auto" w:fill="auto"/>
                <w:lang w:val="zh-TW" w:eastAsia="zh-CN" w:bidi="zh-TW"/>
              </w:rPr>
              <w:t>、</w:t>
            </w:r>
            <w:r>
              <w:rPr>
                <w:rFonts w:hint="default" w:ascii="仿宋" w:hAnsi="仿宋" w:eastAsia="仿宋" w:cs="仿宋"/>
                <w:color w:val="000000"/>
                <w:kern w:val="2"/>
                <w:sz w:val="22"/>
                <w:szCs w:val="22"/>
                <w:u w:val="none"/>
                <w:shd w:val="clear" w:color="auto" w:fill="auto"/>
                <w:lang w:val="zh-TW" w:eastAsia="zh-TW" w:bidi="zh-TW"/>
              </w:rPr>
              <w:t>策划师</w:t>
            </w:r>
            <w:r>
              <w:rPr>
                <w:rFonts w:hint="eastAsia" w:ascii="仿宋" w:hAnsi="仿宋" w:eastAsia="仿宋" w:cs="仿宋"/>
                <w:color w:val="000000"/>
                <w:kern w:val="2"/>
                <w:sz w:val="22"/>
                <w:szCs w:val="22"/>
                <w:u w:val="none"/>
                <w:shd w:val="clear" w:color="auto" w:fill="auto"/>
                <w:lang w:val="zh-TW" w:eastAsia="zh-CN" w:bidi="zh-TW"/>
              </w:rPr>
              <w:t>、</w:t>
            </w:r>
            <w:r>
              <w:rPr>
                <w:rFonts w:hint="default" w:ascii="仿宋" w:hAnsi="仿宋" w:eastAsia="仿宋" w:cs="仿宋"/>
                <w:color w:val="000000"/>
                <w:kern w:val="2"/>
                <w:sz w:val="22"/>
                <w:szCs w:val="22"/>
                <w:u w:val="none"/>
                <w:shd w:val="clear" w:color="auto" w:fill="auto"/>
                <w:lang w:val="zh-TW" w:eastAsia="zh-TW" w:bidi="zh-TW"/>
              </w:rPr>
              <w:t>创意指导</w:t>
            </w:r>
            <w:r>
              <w:rPr>
                <w:rFonts w:hint="eastAsia" w:ascii="仿宋" w:hAnsi="仿宋" w:eastAsia="仿宋" w:cs="仿宋"/>
                <w:color w:val="000000"/>
                <w:kern w:val="2"/>
                <w:sz w:val="22"/>
                <w:szCs w:val="22"/>
                <w:u w:val="none"/>
                <w:shd w:val="clear" w:color="auto" w:fill="auto"/>
                <w:lang w:val="zh-TW" w:eastAsia="zh-CN" w:bidi="zh-TW"/>
              </w:rPr>
              <w:t>、</w:t>
            </w:r>
            <w:r>
              <w:rPr>
                <w:rFonts w:hint="default" w:ascii="仿宋" w:hAnsi="仿宋" w:eastAsia="仿宋" w:cs="仿宋"/>
                <w:color w:val="000000"/>
                <w:kern w:val="2"/>
                <w:sz w:val="22"/>
                <w:szCs w:val="22"/>
                <w:u w:val="none"/>
                <w:shd w:val="clear" w:color="auto" w:fill="auto"/>
                <w:lang w:val="zh-TW" w:eastAsia="zh-TW" w:bidi="zh-TW"/>
              </w:rPr>
              <w:t>制片</w:t>
            </w:r>
            <w:r>
              <w:rPr>
                <w:rFonts w:hint="eastAsia" w:ascii="仿宋" w:hAnsi="仿宋" w:eastAsia="仿宋" w:cs="仿宋"/>
                <w:color w:val="000000"/>
                <w:kern w:val="2"/>
                <w:sz w:val="22"/>
                <w:szCs w:val="22"/>
                <w:u w:val="none"/>
                <w:shd w:val="clear" w:color="auto" w:fill="auto"/>
                <w:lang w:val="zh-TW" w:eastAsia="zh-CN" w:bidi="zh-TW"/>
              </w:rPr>
              <w:t>、</w:t>
            </w:r>
            <w:r>
              <w:rPr>
                <w:rFonts w:hint="default" w:ascii="仿宋" w:hAnsi="仿宋" w:eastAsia="仿宋" w:cs="仿宋"/>
                <w:color w:val="000000"/>
                <w:kern w:val="2"/>
                <w:sz w:val="22"/>
                <w:szCs w:val="22"/>
                <w:u w:val="none"/>
                <w:shd w:val="clear" w:color="auto" w:fill="auto"/>
                <w:lang w:val="zh-TW" w:eastAsia="zh-TW" w:bidi="zh-TW"/>
              </w:rPr>
              <w:t>编剧</w:t>
            </w:r>
            <w:r>
              <w:rPr>
                <w:rFonts w:hint="eastAsia" w:ascii="仿宋" w:hAnsi="仿宋" w:eastAsia="仿宋" w:cs="仿宋"/>
                <w:color w:val="000000"/>
                <w:kern w:val="2"/>
                <w:sz w:val="22"/>
                <w:szCs w:val="22"/>
                <w:u w:val="none"/>
                <w:shd w:val="clear" w:color="auto" w:fill="auto"/>
                <w:lang w:val="zh-TW" w:eastAsia="zh-CN" w:bidi="zh-TW"/>
              </w:rPr>
              <w:t>、</w:t>
            </w:r>
            <w:r>
              <w:rPr>
                <w:rFonts w:hint="default" w:ascii="仿宋" w:hAnsi="仿宋" w:eastAsia="仿宋" w:cs="仿宋"/>
                <w:color w:val="000000"/>
                <w:kern w:val="2"/>
                <w:sz w:val="22"/>
                <w:szCs w:val="22"/>
                <w:u w:val="none"/>
                <w:shd w:val="clear" w:color="auto" w:fill="auto"/>
                <w:lang w:val="zh-TW" w:eastAsia="zh-TW" w:bidi="zh-TW"/>
              </w:rPr>
              <w:t>创意设计师等</w:t>
            </w:r>
          </w:p>
        </w:tc>
      </w:tr>
    </w:tbl>
    <w:p>
      <w:pPr>
        <w:pStyle w:val="4"/>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kern w:val="2"/>
          <w:sz w:val="28"/>
          <w:szCs w:val="28"/>
          <w:u w:val="none"/>
          <w:shd w:val="clear"/>
          <w:lang w:val="zh-TW" w:eastAsia="zh-TW" w:bidi="ar-SA"/>
        </w:rPr>
      </w:pPr>
      <w:r>
        <w:rPr>
          <w:rFonts w:hint="eastAsia" w:ascii="仿宋_GB2312" w:hAnsi="仿宋_GB2312" w:eastAsia="仿宋_GB2312" w:cs="仿宋_GB2312"/>
          <w:b/>
          <w:bCs/>
          <w:kern w:val="2"/>
          <w:sz w:val="28"/>
          <w:szCs w:val="28"/>
          <w:u w:val="none"/>
          <w:shd w:val="clear"/>
          <w:lang w:val="zh-TW" w:eastAsia="zh-TW" w:bidi="ar-SA"/>
        </w:rPr>
        <w:t>五</w:t>
      </w:r>
      <w:bookmarkEnd w:id="17"/>
      <w:r>
        <w:rPr>
          <w:rFonts w:hint="eastAsia" w:ascii="仿宋_GB2312" w:hAnsi="仿宋_GB2312" w:eastAsia="仿宋_GB2312" w:cs="仿宋_GB2312"/>
          <w:b/>
          <w:bCs/>
          <w:kern w:val="2"/>
          <w:sz w:val="28"/>
          <w:szCs w:val="28"/>
          <w:u w:val="none"/>
          <w:shd w:val="clear"/>
          <w:lang w:val="zh-TW" w:eastAsia="zh-TW" w:bidi="ar-SA"/>
        </w:rPr>
        <w:t>、培养目标</w:t>
      </w:r>
      <w:bookmarkEnd w:id="18"/>
      <w:bookmarkEnd w:id="19"/>
      <w:bookmarkEnd w:id="20"/>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default" w:ascii="仿宋_GB2312" w:hAnsi="仿宋_GB2312" w:eastAsia="仿宋_GB2312" w:cs="仿宋_GB2312"/>
          <w:kern w:val="2"/>
          <w:sz w:val="28"/>
          <w:szCs w:val="28"/>
          <w:u w:val="none"/>
          <w:shd w:val="clear"/>
          <w:lang w:val="zh-CN" w:eastAsia="zh-CN" w:bidi="ar-SA"/>
        </w:rPr>
      </w:pPr>
      <w:bookmarkStart w:id="21" w:name="bookmark23"/>
      <w:bookmarkStart w:id="22" w:name="bookmark22"/>
      <w:bookmarkStart w:id="23" w:name="bookmark21"/>
      <w:bookmarkStart w:id="24" w:name="bookmark24"/>
      <w:r>
        <w:rPr>
          <w:rFonts w:hint="eastAsia" w:ascii="仿宋_GB2312" w:hAnsi="仿宋_GB2312" w:eastAsia="仿宋_GB2312" w:cs="仿宋_GB2312"/>
          <w:sz w:val="28"/>
          <w:szCs w:val="28"/>
          <w:lang w:eastAsia="zh-CN"/>
        </w:rPr>
        <w:t>本专业培养德智体美劳全面发展，掌握扎实的科学文化基础和创意策划、新媒体运营、基础设计与视频制作等知识，具备创意统筹、运营推广、文创产品开发等能力，具有工匠精神和信息素养，能够从事文化活动策划与组织、新媒体运营、文创产品设计与创意策划、短视频创意指导与创作等工作的高素质技术技能人才。</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jc w:val="both"/>
        <w:textAlignment w:val="auto"/>
        <w:rPr>
          <w:rFonts w:hint="eastAsia" w:ascii="新宋体" w:hAnsi="新宋体" w:eastAsia="新宋体" w:cs="新宋体"/>
          <w:b/>
          <w:bCs/>
          <w:color w:val="000000"/>
          <w:spacing w:val="0"/>
          <w:w w:val="100"/>
          <w:kern w:val="2"/>
          <w:position w:val="0"/>
          <w:sz w:val="28"/>
          <w:szCs w:val="28"/>
          <w:u w:val="none"/>
          <w:shd w:val="clear" w:color="auto" w:fill="auto"/>
          <w:lang w:val="zh-TW" w:eastAsia="zh-TW" w:bidi="zh-TW"/>
        </w:rPr>
      </w:pPr>
      <w:r>
        <w:rPr>
          <w:rFonts w:hint="eastAsia" w:ascii="仿宋_GB2312" w:hAnsi="仿宋_GB2312" w:eastAsia="仿宋_GB2312" w:cs="仿宋_GB2312"/>
          <w:b/>
          <w:bCs/>
          <w:kern w:val="2"/>
          <w:sz w:val="28"/>
          <w:szCs w:val="28"/>
          <w:u w:val="none"/>
          <w:shd w:val="clear" w:color="auto" w:fill="auto"/>
          <w:lang w:val="zh-TW" w:eastAsia="zh-TW" w:bidi="ar-SA"/>
        </w:rPr>
        <w:t>六</w:t>
      </w:r>
      <w:bookmarkEnd w:id="21"/>
      <w:r>
        <w:rPr>
          <w:rFonts w:hint="eastAsia" w:ascii="仿宋_GB2312" w:hAnsi="仿宋_GB2312" w:eastAsia="仿宋_GB2312" w:cs="仿宋_GB2312"/>
          <w:b/>
          <w:bCs/>
          <w:kern w:val="2"/>
          <w:sz w:val="28"/>
          <w:szCs w:val="28"/>
          <w:u w:val="none"/>
          <w:shd w:val="clear" w:color="auto" w:fill="auto"/>
          <w:lang w:val="zh-TW" w:eastAsia="zh-TW" w:bidi="ar-SA"/>
        </w:rPr>
        <w:t>、培养规格</w:t>
      </w:r>
      <w:bookmarkEnd w:id="22"/>
      <w:bookmarkEnd w:id="23"/>
      <w:bookmarkEnd w:id="24"/>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_GB2312" w:hAnsi="仿宋_GB2312" w:eastAsia="仿宋_GB2312" w:cs="仿宋_GB2312"/>
          <w:kern w:val="2"/>
          <w:sz w:val="28"/>
          <w:szCs w:val="28"/>
          <w:u w:val="none"/>
          <w:shd w:val="clear"/>
          <w:lang w:val="zh-CN" w:eastAsia="zh-CN" w:bidi="ar-SA"/>
        </w:rPr>
      </w:pPr>
      <w:bookmarkStart w:id="25" w:name="bookmark57"/>
      <w:bookmarkStart w:id="26" w:name="bookmark58"/>
      <w:bookmarkStart w:id="27" w:name="bookmark56"/>
      <w:bookmarkStart w:id="28" w:name="bookmark59"/>
      <w:r>
        <w:rPr>
          <w:rFonts w:hint="eastAsia" w:ascii="仿宋_GB2312" w:hAnsi="仿宋_GB2312" w:eastAsia="仿宋_GB2312" w:cs="仿宋_GB2312"/>
          <w:kern w:val="2"/>
          <w:sz w:val="28"/>
          <w:szCs w:val="28"/>
          <w:u w:val="none"/>
          <w:shd w:val="clear"/>
          <w:lang w:val="zh-CN" w:eastAsia="zh-CN" w:bidi="ar-SA"/>
        </w:rPr>
        <w:t>本专业毕业生应在素质、知识和能力等方面达到以下要求：</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left="440" w:leftChars="0" w:right="0" w:rightChars="0"/>
        <w:jc w:val="both"/>
        <w:textAlignment w:val="auto"/>
        <w:rPr>
          <w:rFonts w:hint="eastAsia" w:ascii="仿宋_GB2312" w:hAnsi="仿宋_GB2312" w:eastAsia="仿宋_GB2312" w:cs="仿宋_GB2312"/>
          <w:b/>
          <w:bCs/>
          <w:kern w:val="2"/>
          <w:sz w:val="28"/>
          <w:szCs w:val="28"/>
          <w:u w:val="none"/>
          <w:shd w:val="clear"/>
          <w:lang w:val="en-US" w:eastAsia="zh-CN" w:bidi="ar-SA"/>
        </w:rPr>
      </w:pPr>
      <w:r>
        <w:rPr>
          <w:rFonts w:hint="eastAsia" w:ascii="仿宋_GB2312" w:hAnsi="仿宋_GB2312" w:eastAsia="仿宋_GB2312" w:cs="仿宋_GB2312"/>
          <w:b/>
          <w:bCs/>
          <w:kern w:val="2"/>
          <w:sz w:val="28"/>
          <w:szCs w:val="28"/>
          <w:u w:val="none"/>
          <w:shd w:val="clear"/>
          <w:lang w:val="en-US" w:eastAsia="zh-CN" w:bidi="ar-SA"/>
        </w:rPr>
        <w:t>（一）素质</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eastAsia="zh-CN"/>
        </w:rPr>
        <w:t>坚定拥护中国共产党领导和我国社会主义制度,在习近平新时代中国特色社会主义思想指引下,践行社会主义核心价值观,具有深厚的爱国情感和中华民族自豪感。</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eastAsia="zh-CN"/>
        </w:rPr>
        <w:t>崇尚宪法、遵法守纪、崇德向善、诚实守信、尊重生命、热爱劳动,履行道德准则和行为规范,具有社会责任感和社会参与意识。</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eastAsia="zh-CN"/>
        </w:rPr>
        <w:t>具有质量意识、环保意识、安全意识、信息素养、工匠精神、创新思维。</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eastAsia="zh-CN"/>
        </w:rPr>
        <w:t>勇于奋斗、乐观向上,具有自我管理能力、职业生涯规划的意识,有较强的集体意识和团队合作精神。</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eastAsia="zh-CN"/>
        </w:rPr>
        <w:t>具有健康的体魄、心理和健全的人格,掌握基本运动知识和1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zh-CN" w:eastAsia="zh-CN"/>
        </w:rPr>
        <w:t>2项运动技能,养成良好的健身与卫生习惯,以及良好的行为习惯。</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zh-CN" w:eastAsia="zh-CN"/>
        </w:rPr>
        <w:t>具有一定的审美和人文素养,能够形成3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zh-CN" w:eastAsia="zh-CN"/>
        </w:rPr>
        <w:t>4项艺术特长或爱好。</w:t>
      </w:r>
    </w:p>
    <w:p>
      <w:pPr>
        <w:pStyle w:val="5"/>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2" w:firstLineChars="200"/>
        <w:jc w:val="both"/>
        <w:textAlignment w:val="auto"/>
        <w:rPr>
          <w:rFonts w:hint="eastAsia" w:ascii="仿宋_GB2312" w:hAnsi="仿宋_GB2312" w:eastAsia="仿宋_GB2312" w:cs="仿宋_GB2312"/>
          <w:b/>
          <w:bCs/>
          <w:kern w:val="2"/>
          <w:sz w:val="28"/>
          <w:szCs w:val="28"/>
          <w:u w:val="none"/>
          <w:shd w:val="clear"/>
          <w:lang w:val="en-US" w:eastAsia="zh-CN" w:bidi="ar-SA"/>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eastAsia="zh-CN"/>
        </w:rPr>
        <w:t>）知识</w:t>
      </w:r>
      <w:r>
        <w:rPr>
          <w:rFonts w:hint="eastAsia" w:ascii="仿宋_GB2312" w:hAnsi="仿宋_GB2312" w:eastAsia="仿宋_GB2312" w:cs="仿宋_GB2312"/>
          <w:b/>
          <w:bCs/>
          <w:sz w:val="28"/>
          <w:szCs w:val="28"/>
          <w:lang w:val="en-US" w:eastAsia="zh-CN"/>
        </w:rPr>
        <w:t>与</w:t>
      </w:r>
      <w:r>
        <w:rPr>
          <w:rFonts w:hint="eastAsia" w:ascii="仿宋_GB2312" w:hAnsi="仿宋_GB2312" w:eastAsia="仿宋_GB2312" w:cs="仿宋_GB2312"/>
          <w:b/>
          <w:bCs/>
          <w:kern w:val="2"/>
          <w:sz w:val="28"/>
          <w:szCs w:val="28"/>
          <w:u w:val="none"/>
          <w:shd w:val="clear"/>
          <w:lang w:val="en-US" w:eastAsia="zh-CN" w:bidi="ar-SA"/>
        </w:rPr>
        <w:t>能力</w:t>
      </w:r>
    </w:p>
    <w:bookmarkEnd w:id="25"/>
    <w:bookmarkEnd w:id="26"/>
    <w:bookmarkEnd w:id="27"/>
    <w:bookmarkEnd w:id="28"/>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1.具有文化创意活动中的创新能力与实践能力。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2.具有文化活动策划、品牌推广、文创产品推介等所需的策划与组织合作能力。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3.具有文创产品开发中所需的创意统筹与产品架构能力。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4.具有文创产品设计制图中所需的数字技术能力与设计表现能力。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5.具有新媒体运营所需的视觉艺术素养和宣传、运营能力。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6.具有视频创意制作所需的拍摄技巧、脚本设计、视频剪辑能力。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7.具有探究学习、终身学习和可持续发展的能力。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七、课程设置</w:t>
      </w:r>
      <w:r>
        <w:rPr>
          <w:rFonts w:hint="eastAsia" w:ascii="仿宋_GB2312" w:hAnsi="仿宋_GB2312" w:eastAsia="仿宋_GB2312" w:cs="仿宋_GB2312"/>
          <w:b/>
          <w:bCs/>
          <w:sz w:val="28"/>
          <w:szCs w:val="28"/>
          <w:lang w:val="en-US" w:eastAsia="zh-CN"/>
        </w:rPr>
        <w:t>与要求</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本专业课程主要包括公共基础课和专业课。</w:t>
      </w:r>
    </w:p>
    <w:p>
      <w:pPr>
        <w:pStyle w:val="5"/>
        <w:keepNext w:val="0"/>
        <w:keepLines w:val="0"/>
        <w:pageBreakBefore w:val="0"/>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lang w:val="en-US" w:eastAsia="zh-CN" w:bidi="ar-SA"/>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lang w:val="en-US" w:eastAsia="zh-CN" w:bidi="ar-SA"/>
        </w:rPr>
        <w:t>公共基础课</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bookmarkStart w:id="29" w:name="bookmark52"/>
      <w:bookmarkEnd w:id="29"/>
      <w:r>
        <w:rPr>
          <w:rFonts w:hint="eastAsia" w:ascii="仿宋_GB2312" w:hAnsi="仿宋_GB2312" w:eastAsia="仿宋_GB2312" w:cs="仿宋_GB2312"/>
          <w:sz w:val="28"/>
          <w:szCs w:val="28"/>
          <w:lang w:val="en-US" w:eastAsia="zh-CN" w:bidi="ar-SA"/>
        </w:rPr>
        <w:t>1.课程设置</w:t>
      </w:r>
    </w:p>
    <w:p>
      <w:pPr>
        <w:pStyle w:val="5"/>
        <w:wordWrap/>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公共基础必修课设置《思想道德与法治》《毛泽东思想和中国特色社会主义理论体系概论》《形势与政策》《铸牢中华民族共同体意识》《大学语文》《大学英语》《军事理论与军事训练》《入学教育》《计算机应用基础》《体育与健康》《大学生心理健康教育》《劳动教育》《职业生涯规划与就业创业指导》《公共艺术》《大学生安全教育》，公共基础选修课设置《公共关系》《职场礼仪》《书法》《应用文写作》《中华优秀传统文化》以及社团活动或社会志愿服务。</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2.课程主要内容及要求</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（1）思想道德与法治（原为思想道德修养与法律基础）。帮助学生筑牢理想信念之基，培育和践行社会主义和价值观，传承中华美德，弘扬中国精神，尊重和维护宪法权威，提升思想道德素质和法律素质。</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2）毛泽东思想和中国特色社会主义理论体系概论。帮助学生理解毛泽东思想、邓小平理论、“三个代表”重要思想、科学发展观、习近平新时代中国特色社会主义思想是一脉相承又与时俱进的科学体系，引导学生坚定“四个自信”。</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（3）形势与政策。帮助学生准确理解当代马克思主义，党和国家取得的历史性成就、面临的历史性机遇和挑战，引导学生正确认识世界和中国发展大势，认清时代责任和历史使命。</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4）铸牢中华民族共同体意识。以铸牢中华民族共同体意识为主线，学习习近平关于民族工作重要论述，党的民族理论与民族政策，引导学生树立马克思主义国家观、历史观、民族观、文化观和宗教观，坚定走中国特色解决民族问题正确道路的信心。</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5）大学语文。增强学生语言文字的表达、交流与沟通能力、写作能力，提高学生语言文字的实际应用水平，并使学生的内心世界更为充实、丰富和健康，从而完善大学生的文化修养和现代人格，辅助当代大学生人文素质工程。</w:t>
      </w:r>
    </w:p>
    <w:p>
      <w:pPr>
        <w:keepNext w:val="0"/>
        <w:keepLines w:val="0"/>
        <w:pageBreakBefore w:val="0"/>
        <w:widowControl w:val="0"/>
        <w:numPr>
          <w:ilvl w:val="0"/>
          <w:numId w:val="0"/>
        </w:numPr>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6）大学英语。通过课堂教学各个环节，运用各种教学方法，使学生掌握一定的英语听、说、读、写、译的基本技能，培养学生进行简单的口头和书面交流能力。同时，大学英语坚持知识传授和价值引领相结合，运用可以培养学生理想信念、价值取向、政治信仰、社会责任的题材与内容，使显性教育与隐性教育相融合，培养学生树立正确的世界观、人生观、价值观，让学生成为德才兼备、全面发展的人才。</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7）职业生涯规划与就业创业指导。引导大学生在认识自我的基础上树立正确的职业理想和择业观，使大学生在了解国家的就业政策及法规前提下，增强自身全面素质，能够科学、合理规划职业生涯，掌握求职择业的方法与技巧，提升就业能力，正确并顺利选择职业；同时了解并熟悉创业所需条件、企业创办程序，从而在培养创业意识的基础上树立并提高大学生创新创业能力及创业实践。</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8）计算机应用基础。培养学生掌握常用的工具软件和信息化办公技术，具备支撑专业学习的能力，使学生能够在日常生活、学习和工作中综合运用信息技术解决问题；增强信息意识、提升计算思维、促进数字化创新与发展能力、树立正确的信息社会价值观和责任感，为其职业发展、终身学习和服务社会奠定基础。</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9）体育与健康。培养学生掌握基本的体育理论知识和基本技能，提高体育意识，建立正确的体育价值观，掌握科学锻炼身体的方法，增强体质，形成对健康的自我监测和评价能力，养成终身锻炼的习惯，促进身体机能全面发展；培养爱国主义和集体主义的思想品德和教育，树立正确的体育道德观，形成顽强进取，勇于拼搏的思想品质。</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10）大学生安全教育。激发大学生树立安全第一的意识确立正确的安全观。培养正确避灾、避险和防骗、识骗技能，提高防灾避险和防骗能力；培养学生高尚的人生价值观和正确的价值观；掌握有效预防传染病和食物中毒的方法。主要内容包括：国家安全、财产安全、网络安全、消防安全、学习安全、公共卫生安全、社会活动安全、灾害自救安全等。</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11）大学生心理健康教育。使学生掌握心理健康的基本概念和基础知识，初步形成多种视角的心理学观点，并能将其与日常的学习、工作和生活紧密联系；学会评价个人心理健康状况并有效的进行自我调节；建立科学的健康观，能以科学的态度和方法来认识和处理心理健康问题。</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12）军事理论及军事技能。通过军事理论及军事技能训练，使学生掌握基本的军事知识和技能，提高其政治觉悟，激发爱国热情，发扬革命英雄主义精神，培养艰苦奋斗、刻苦耐劳的坚强毅力和集体主义精神，增强国防观念和组织纪律性，养成良好的学习生活作风，为学生顺利完成学业奠定坚实的基础。</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 xml:space="preserve">（13）劳动教育。通过劳动教育，使学生树立新时代劳动价值观，增强诚实劳动意识，积累职业经验，提升就业创业能力，树立正确择业观；使学生具备满足生存发展需要的基本劳动能力，具备到艰苦地区和行业工作的奋斗精神，具备面对重大疫情和灾害等危机时主动作为的奉献精神。 </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default" w:ascii="仿宋_GB2312" w:hAnsi="仿宋_GB2312" w:eastAsia="仿宋_GB2312" w:cs="仿宋_GB2312"/>
          <w:sz w:val="28"/>
          <w:szCs w:val="28"/>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（14）入学教育。通过入学教育，帮助新生尽快融入角色、自觉适应新的学习生活环境、端正学习态度，遵守学校的规章制度，建立和谐的人际关系。</w:t>
      </w:r>
    </w:p>
    <w:p>
      <w:pPr>
        <w:pStyle w:val="5"/>
        <w:keepNext w:val="0"/>
        <w:keepLines w:val="0"/>
        <w:pageBreakBefore w:val="0"/>
        <w:shd w:val="clear" w:color="auto" w:fill="auto"/>
        <w:tabs>
          <w:tab w:val="left" w:pos="923"/>
        </w:tabs>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lang w:val="en-US" w:eastAsia="zh-CN" w:bidi="ar-SA"/>
        </w:rPr>
      </w:pPr>
      <w:r>
        <w:rPr>
          <w:rFonts w:hint="eastAsia" w:ascii="仿宋_GB2312" w:hAnsi="仿宋_GB2312" w:eastAsia="仿宋_GB2312" w:cs="仿宋_GB2312"/>
          <w:b/>
          <w:bCs/>
          <w:sz w:val="28"/>
          <w:szCs w:val="28"/>
          <w:lang w:val="en-US" w:eastAsia="zh-CN" w:bidi="ar-SA"/>
        </w:rPr>
        <w:t>（二）专业课</w:t>
      </w:r>
    </w:p>
    <w:p>
      <w:pPr>
        <w:pStyle w:val="5"/>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1.课程设置</w:t>
      </w:r>
    </w:p>
    <w:p>
      <w:pPr>
        <w:pStyle w:val="5"/>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bookmarkStart w:id="30" w:name="bookmark61"/>
      <w:bookmarkEnd w:id="30"/>
      <w:bookmarkStart w:id="31" w:name="bookmark62"/>
      <w:bookmarkEnd w:id="31"/>
      <w:r>
        <w:rPr>
          <w:rFonts w:hint="eastAsia" w:ascii="仿宋_GB2312" w:hAnsi="仿宋_GB2312" w:eastAsia="仿宋_GB2312" w:cs="仿宋_GB2312"/>
          <w:sz w:val="28"/>
          <w:szCs w:val="28"/>
          <w:lang w:val="en-US" w:eastAsia="zh-CN" w:bidi="ar-SA"/>
        </w:rPr>
        <w:t>专业基础课《创意学基础》《文化产业概论》《文创策划》《展览展示策划》《文创企业管理实务》《设计软件应用》。</w:t>
      </w:r>
    </w:p>
    <w:p>
      <w:pPr>
        <w:pStyle w:val="5"/>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bookmarkStart w:id="32" w:name="bookmark63"/>
      <w:bookmarkEnd w:id="32"/>
      <w:r>
        <w:rPr>
          <w:rFonts w:hint="eastAsia" w:ascii="仿宋_GB2312" w:hAnsi="仿宋_GB2312" w:eastAsia="仿宋_GB2312" w:cs="仿宋_GB2312"/>
          <w:sz w:val="28"/>
          <w:szCs w:val="28"/>
          <w:lang w:val="en-US" w:eastAsia="zh-CN" w:bidi="ar-SA"/>
        </w:rPr>
        <w:t>专业核心课</w:t>
      </w:r>
      <w:bookmarkStart w:id="33" w:name="bookmark64"/>
      <w:bookmarkEnd w:id="33"/>
      <w:r>
        <w:rPr>
          <w:rFonts w:hint="eastAsia" w:ascii="仿宋_GB2312" w:hAnsi="仿宋_GB2312" w:eastAsia="仿宋_GB2312" w:cs="仿宋_GB2312"/>
          <w:sz w:val="28"/>
          <w:szCs w:val="28"/>
          <w:lang w:val="en-US" w:eastAsia="zh-CN" w:bidi="ar-SA"/>
        </w:rPr>
        <w:t>《创意文案写作实务》《图形语言》《网络传播与策划》《短视频创意制作》《文创产品设计》《文化活动策划实务》。</w:t>
      </w:r>
    </w:p>
    <w:p>
      <w:pPr>
        <w:pStyle w:val="5"/>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专业拓展课《平面广告与品牌形象设计》《新媒体运营》《策划提案与脚本设计》《非遗与文创产品设计》。</w:t>
      </w:r>
    </w:p>
    <w:p>
      <w:pPr>
        <w:pStyle w:val="5"/>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default" w:ascii="仿宋_GB2312" w:hAnsi="仿宋_GB2312" w:eastAsia="仿宋_GB2312" w:cs="仿宋_GB2312"/>
          <w:sz w:val="28"/>
          <w:szCs w:val="28"/>
          <w:lang w:val="en-US" w:eastAsia="zh-CN" w:bidi="ar-SA"/>
        </w:rPr>
      </w:pPr>
      <w:bookmarkStart w:id="34" w:name="bookmark65"/>
      <w:bookmarkEnd w:id="34"/>
      <w:r>
        <w:rPr>
          <w:rFonts w:hint="eastAsia" w:ascii="仿宋_GB2312" w:hAnsi="仿宋_GB2312" w:eastAsia="仿宋_GB2312" w:cs="仿宋_GB2312"/>
          <w:sz w:val="28"/>
          <w:szCs w:val="28"/>
          <w:lang w:val="en-US" w:eastAsia="zh-CN" w:bidi="ar-SA"/>
        </w:rPr>
        <w:t>2.课程主要内容</w:t>
      </w:r>
    </w:p>
    <w:tbl>
      <w:tblPr>
        <w:tblStyle w:val="2"/>
        <w:tblW w:w="8452" w:type="dxa"/>
        <w:jc w:val="center"/>
        <w:tblInd w:w="0" w:type="dxa"/>
        <w:tblLayout w:type="fixed"/>
        <w:tblCellMar>
          <w:top w:w="0" w:type="dxa"/>
          <w:left w:w="10" w:type="dxa"/>
          <w:bottom w:w="0" w:type="dxa"/>
          <w:right w:w="10" w:type="dxa"/>
        </w:tblCellMar>
      </w:tblPr>
      <w:tblGrid>
        <w:gridCol w:w="733"/>
        <w:gridCol w:w="1213"/>
        <w:gridCol w:w="6506"/>
      </w:tblGrid>
      <w:tr>
        <w:tblPrEx>
          <w:tblLayout w:type="fixed"/>
          <w:tblCellMar>
            <w:top w:w="0" w:type="dxa"/>
            <w:left w:w="10" w:type="dxa"/>
            <w:bottom w:w="0" w:type="dxa"/>
            <w:right w:w="10" w:type="dxa"/>
          </w:tblCellMar>
        </w:tblPrEx>
        <w:trPr>
          <w:trHeight w:val="403"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序号</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课程名称</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主要教学内容</w:t>
            </w:r>
          </w:p>
        </w:tc>
      </w:tr>
      <w:tr>
        <w:tblPrEx>
          <w:tblLayout w:type="fixed"/>
          <w:tblCellMar>
            <w:top w:w="0" w:type="dxa"/>
            <w:left w:w="10" w:type="dxa"/>
            <w:bottom w:w="0" w:type="dxa"/>
            <w:right w:w="10" w:type="dxa"/>
          </w:tblCellMar>
        </w:tblPrEx>
        <w:trPr>
          <w:trHeight w:val="1751"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1</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创意文案写作实务</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eastAsia="zh-CN"/>
              </w:rPr>
            </w:pPr>
            <w:r>
              <w:rPr>
                <w:rFonts w:hint="eastAsia" w:ascii="仿宋" w:hAnsi="仿宋" w:eastAsia="仿宋" w:cs="仿宋"/>
                <w:sz w:val="24"/>
                <w:szCs w:val="24"/>
              </w:rPr>
              <w:t>本课程主要以案例为主。主要内容分为两个学习区块:一方面对于广告文案、新媒体文案、电商文案等撰写原理和方法进行具体讲授;另一方面，分析、剖析不同平台文创产品、台湾文创产品、欧美文创产品及相关衍生品的文案写作特点联系规律，以理论指导创作。</w:t>
            </w:r>
          </w:p>
        </w:tc>
      </w:tr>
      <w:tr>
        <w:tblPrEx>
          <w:tblLayout w:type="fixed"/>
          <w:tblCellMar>
            <w:top w:w="0" w:type="dxa"/>
            <w:left w:w="10" w:type="dxa"/>
            <w:bottom w:w="0" w:type="dxa"/>
            <w:right w:w="10" w:type="dxa"/>
          </w:tblCellMar>
        </w:tblPrEx>
        <w:trPr>
          <w:trHeight w:val="1352"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2</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图形语言</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rPr>
            </w:pPr>
            <w:r>
              <w:rPr>
                <w:rFonts w:hint="eastAsia" w:ascii="仿宋" w:hAnsi="仿宋" w:eastAsia="仿宋" w:cs="仿宋"/>
                <w:i w:val="0"/>
                <w:iCs w:val="0"/>
                <w:caps w:val="0"/>
                <w:color w:val="333333"/>
                <w:spacing w:val="0"/>
                <w:sz w:val="24"/>
                <w:szCs w:val="24"/>
                <w:shd w:val="clear" w:fill="FFFFFF"/>
              </w:rPr>
              <w:t>图形设计课程能帮助学生通过图形进行思维、进行创造。强调脑眼、手、图形的互动。图形设计的训练，无疑是培养学生形象化思考的能力，以及培养学生开拓创新思维能力的有效方法和途径。</w:t>
            </w:r>
          </w:p>
        </w:tc>
      </w:tr>
      <w:tr>
        <w:tblPrEx>
          <w:tblLayout w:type="fixed"/>
          <w:tblCellMar>
            <w:top w:w="0" w:type="dxa"/>
            <w:left w:w="10" w:type="dxa"/>
            <w:bottom w:w="0" w:type="dxa"/>
            <w:right w:w="10" w:type="dxa"/>
          </w:tblCellMar>
        </w:tblPrEx>
        <w:trPr>
          <w:trHeight w:val="1918"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3</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网络传播与策划</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i w:val="0"/>
                <w:iCs w:val="0"/>
                <w:caps w:val="0"/>
                <w:color w:val="555555"/>
                <w:spacing w:val="0"/>
                <w:sz w:val="24"/>
                <w:szCs w:val="24"/>
                <w:shd w:val="clear" w:fill="FFFFFF"/>
              </w:rPr>
              <w:t>使学生通过对网络传播的特征、问题及相关对策的了解各类网络媒体的经营与管理状况的了解、网络新闻媒体的基本状况，发展前景，发展思路等的初步了解，通过相关软件学习能够熟练掌握网站和网页设计相关的设计理念和基本技术，能够熟练地进行静态的个人及新闻网站设计</w:t>
            </w:r>
            <w:r>
              <w:rPr>
                <w:rFonts w:hint="eastAsia" w:ascii="仿宋" w:hAnsi="仿宋" w:eastAsia="仿宋" w:cs="仿宋"/>
                <w:i w:val="0"/>
                <w:iCs w:val="0"/>
                <w:caps w:val="0"/>
                <w:color w:val="555555"/>
                <w:spacing w:val="0"/>
                <w:sz w:val="24"/>
                <w:szCs w:val="24"/>
                <w:shd w:val="clear" w:fill="FFFFFF"/>
                <w:lang w:eastAsia="zh-CN"/>
              </w:rPr>
              <w:t>。</w:t>
            </w:r>
          </w:p>
        </w:tc>
      </w:tr>
      <w:tr>
        <w:tblPrEx>
          <w:tblLayout w:type="fixed"/>
          <w:tblCellMar>
            <w:top w:w="0" w:type="dxa"/>
            <w:left w:w="10" w:type="dxa"/>
            <w:bottom w:w="0" w:type="dxa"/>
            <w:right w:w="10" w:type="dxa"/>
          </w:tblCellMar>
        </w:tblPrEx>
        <w:trPr>
          <w:trHeight w:val="2262"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4</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短视频创意制作</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i w:val="0"/>
                <w:iCs w:val="0"/>
                <w:caps w:val="0"/>
                <w:color w:val="333333"/>
                <w:spacing w:val="0"/>
                <w:sz w:val="24"/>
                <w:szCs w:val="24"/>
                <w:shd w:val="clear" w:fill="FFFFFF"/>
              </w:rPr>
              <w:t>本课程将引导学生们从零开始全面认 识短视频的发展现状和特点;结合 LI前市面上短视频的类型，对短视频的前期创作、 拍摄、剪辑、运营发布等方面进行教学讲授和实践指导。本课程的教学设计将注重案 例引入，丰富学主对于短视频的认识，激发短视频创作的热情。课程将依托借助新媒 体技术，帮助学生树立专业的短视频创作理念，具备基本的短视频创作和制作的技能</w:t>
            </w:r>
            <w:r>
              <w:rPr>
                <w:rFonts w:hint="eastAsia" w:ascii="仿宋" w:hAnsi="仿宋" w:eastAsia="仿宋" w:cs="仿宋"/>
                <w:i w:val="0"/>
                <w:iCs w:val="0"/>
                <w:caps w:val="0"/>
                <w:color w:val="333333"/>
                <w:spacing w:val="0"/>
                <w:sz w:val="24"/>
                <w:szCs w:val="24"/>
                <w:shd w:val="clear" w:fill="FFFFFF"/>
                <w:lang w:eastAsia="zh-CN"/>
              </w:rPr>
              <w:t>。</w:t>
            </w:r>
          </w:p>
        </w:tc>
      </w:tr>
      <w:tr>
        <w:tblPrEx>
          <w:tblLayout w:type="fixed"/>
          <w:tblCellMar>
            <w:top w:w="0" w:type="dxa"/>
            <w:left w:w="10" w:type="dxa"/>
            <w:bottom w:w="0" w:type="dxa"/>
            <w:right w:w="10" w:type="dxa"/>
          </w:tblCellMar>
        </w:tblPrEx>
        <w:trPr>
          <w:trHeight w:val="2313"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5</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文创产品设计</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zh-TW" w:eastAsia="zh-TW"/>
              </w:rPr>
            </w:pPr>
            <w:r>
              <w:rPr>
                <w:rFonts w:hint="eastAsia" w:ascii="仿宋" w:hAnsi="仿宋" w:eastAsia="仿宋" w:cs="仿宋"/>
                <w:spacing w:val="7"/>
                <w:sz w:val="24"/>
                <w:szCs w:val="24"/>
                <w:lang w:val="en-US" w:eastAsia="zh-CN"/>
              </w:rPr>
              <w:t>通过对文创产品设计课程的学习，以数字媒介效果图为手段的呈现，同时借助头脑风暴、设计思维导图等内容的学习，系统掌握文创产品设计体系的构建，熟练掌握产品设计数字效果图的表现方法，掌握文化创意结合设计的 技巧，使其成为产品设计专业学生设计能力成果拓展的途径，为产品设计的综合学习拓展思路。</w:t>
            </w:r>
          </w:p>
        </w:tc>
      </w:tr>
      <w:tr>
        <w:tblPrEx>
          <w:tblLayout w:type="fixed"/>
          <w:tblCellMar>
            <w:top w:w="0" w:type="dxa"/>
            <w:left w:w="10" w:type="dxa"/>
            <w:bottom w:w="0" w:type="dxa"/>
            <w:right w:w="10" w:type="dxa"/>
          </w:tblCellMar>
        </w:tblPrEx>
        <w:trPr>
          <w:trHeight w:val="1672"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6</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文化活动策划实务</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zh-TW" w:eastAsia="zh-TW"/>
              </w:rPr>
              <w:t>本门课程主要讲述</w:t>
            </w:r>
            <w:r>
              <w:rPr>
                <w:rFonts w:hint="eastAsia" w:ascii="仿宋" w:hAnsi="仿宋" w:eastAsia="仿宋" w:cs="仿宋"/>
                <w:spacing w:val="7"/>
                <w:sz w:val="24"/>
                <w:szCs w:val="24"/>
                <w:lang w:val="en-US" w:eastAsia="zh-CN"/>
              </w:rPr>
              <w:t>文化</w:t>
            </w:r>
            <w:r>
              <w:rPr>
                <w:rFonts w:hint="eastAsia" w:ascii="仿宋" w:hAnsi="仿宋" w:eastAsia="仿宋" w:cs="仿宋"/>
                <w:spacing w:val="7"/>
                <w:sz w:val="24"/>
                <w:szCs w:val="24"/>
                <w:lang w:val="zh-TW" w:eastAsia="zh-TW"/>
              </w:rPr>
              <w:t>活动策划的基本原理，培养学生对文</w:t>
            </w:r>
            <w:r>
              <w:rPr>
                <w:rFonts w:hint="eastAsia" w:ascii="仿宋" w:hAnsi="仿宋" w:eastAsia="仿宋" w:cs="仿宋"/>
                <w:spacing w:val="7"/>
                <w:sz w:val="24"/>
                <w:szCs w:val="24"/>
                <w:lang w:val="en-US" w:eastAsia="zh-CN"/>
              </w:rPr>
              <w:t>化</w:t>
            </w:r>
            <w:r>
              <w:rPr>
                <w:rFonts w:hint="eastAsia" w:ascii="仿宋" w:hAnsi="仿宋" w:eastAsia="仿宋" w:cs="仿宋"/>
                <w:spacing w:val="7"/>
                <w:sz w:val="24"/>
                <w:szCs w:val="24"/>
                <w:lang w:val="zh-TW" w:eastAsia="zh-TW"/>
              </w:rPr>
              <w:t>活动中创意点的敏锐度培养。主要分为理论学习和案例分析两个学习区块，一方面使学生掌握活动策划的基本方法，另一方面通过案例加深学生印象，锻炼学生实践能力，并在专业实践基地的建设中得到较好运用。</w:t>
            </w:r>
          </w:p>
        </w:tc>
      </w:tr>
    </w:tbl>
    <w:p>
      <w:pPr>
        <w:pStyle w:val="8"/>
        <w:keepNext w:val="0"/>
        <w:keepLines w:val="0"/>
        <w:pageBreakBefore w:val="0"/>
        <w:kinsoku/>
        <w:wordWrap/>
        <w:overflowPunct/>
        <w:topLinePunct w:val="0"/>
        <w:autoSpaceDE/>
        <w:autoSpaceDN/>
        <w:bidi w:val="0"/>
        <w:spacing w:line="480" w:lineRule="exact"/>
        <w:ind w:left="0" w:leftChars="0"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bookmarkStart w:id="35" w:name="bookmark67"/>
      <w:bookmarkEnd w:id="35"/>
      <w:r>
        <w:rPr>
          <w:rFonts w:hint="eastAsia" w:ascii="仿宋_GB2312" w:hAnsi="仿宋_GB2312" w:eastAsia="仿宋_GB2312" w:cs="仿宋_GB2312"/>
          <w:kern w:val="2"/>
          <w:sz w:val="28"/>
          <w:szCs w:val="28"/>
          <w:u w:val="none"/>
          <w:shd w:val="clear" w:color="auto" w:fill="auto"/>
          <w:lang w:val="en-US" w:eastAsia="zh-CN" w:bidi="ar-SA"/>
        </w:rPr>
        <w:t>3.实践性教学环节</w:t>
      </w:r>
    </w:p>
    <w:p>
      <w:pPr>
        <w:pStyle w:val="8"/>
        <w:wordWrap/>
        <w:spacing w:line="480" w:lineRule="exact"/>
        <w:ind w:left="0" w:leftChars="0" w:firstLine="560" w:firstLineChars="200"/>
        <w:jc w:val="both"/>
        <w:textAlignment w:val="auto"/>
        <w:rPr>
          <w:rFonts w:hint="default"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本专业与巴彦淖尔日报社君领文创中心、锐领视界（海南）文化传媒有限公司、内蒙古科芮特文化有限公司建立深度合作关系并建设校外实训基地。通过建立校内实训室、校企合作的形式，采用校内实训课程、找岗定位、工学交替、顶岗实习、志愿者服务等方式引导学生参与实践教学，最终实现理论与实践相结合。</w:t>
      </w:r>
    </w:p>
    <w:p>
      <w:pPr>
        <w:wordWrap/>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（1）找岗定位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为了</w:t>
      </w:r>
      <w:r>
        <w:rPr>
          <w:rFonts w:hint="eastAsia" w:ascii="仿宋_GB2312" w:hAnsi="仿宋_GB2312" w:eastAsia="仿宋_GB2312" w:cs="仿宋_GB2312"/>
          <w:sz w:val="28"/>
          <w:szCs w:val="28"/>
          <w:lang w:val="en-US" w:eastAsia="zh-CN"/>
        </w:rPr>
        <w:t>树立学生专业学习信心，使学生了解所学专业对应的</w:t>
      </w:r>
      <w:r>
        <w:rPr>
          <w:rFonts w:hint="eastAsia" w:ascii="仿宋_GB2312" w:hAnsi="仿宋_GB2312" w:eastAsia="仿宋_GB2312" w:cs="仿宋_GB2312"/>
          <w:sz w:val="28"/>
          <w:szCs w:val="28"/>
        </w:rPr>
        <w:t>岗位职责，</w:t>
      </w:r>
      <w:r>
        <w:rPr>
          <w:rFonts w:hint="eastAsia" w:ascii="仿宋_GB2312" w:hAnsi="仿宋_GB2312" w:eastAsia="仿宋_GB2312" w:cs="仿宋_GB2312"/>
          <w:sz w:val="28"/>
          <w:szCs w:val="28"/>
          <w:lang w:val="en-US" w:eastAsia="zh-CN"/>
        </w:rPr>
        <w:t>明确在校期间的学习目标，安排</w:t>
      </w:r>
      <w:r>
        <w:rPr>
          <w:rFonts w:hint="eastAsia" w:ascii="仿宋_GB2312" w:hAnsi="仿宋_GB2312" w:eastAsia="仿宋_GB2312" w:cs="仿宋_GB2312"/>
          <w:sz w:val="28"/>
          <w:szCs w:val="28"/>
        </w:rPr>
        <w:t>新生</w:t>
      </w:r>
      <w:r>
        <w:rPr>
          <w:rFonts w:hint="eastAsia" w:ascii="仿宋_GB2312" w:hAnsi="仿宋_GB2312" w:eastAsia="仿宋_GB2312" w:cs="仿宋_GB2312"/>
          <w:sz w:val="28"/>
          <w:szCs w:val="28"/>
          <w:lang w:val="en-US" w:eastAsia="zh-CN"/>
        </w:rPr>
        <w:t>在</w:t>
      </w:r>
      <w:r>
        <w:rPr>
          <w:rFonts w:hint="eastAsia" w:ascii="仿宋_GB2312" w:hAnsi="仿宋_GB2312" w:eastAsia="仿宋_GB2312" w:cs="仿宋_GB2312"/>
          <w:sz w:val="28"/>
          <w:szCs w:val="28"/>
        </w:rPr>
        <w:t>入学</w:t>
      </w:r>
      <w:r>
        <w:rPr>
          <w:rFonts w:hint="eastAsia" w:ascii="仿宋_GB2312" w:hAnsi="仿宋_GB2312" w:eastAsia="仿宋_GB2312" w:cs="仿宋_GB2312"/>
          <w:sz w:val="28"/>
          <w:szCs w:val="28"/>
          <w:lang w:val="en-US" w:eastAsia="zh-CN"/>
        </w:rPr>
        <w:t>教育期间到合作企业</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val="en-US" w:eastAsia="zh-CN"/>
        </w:rPr>
        <w:t>为期半天的</w:t>
      </w:r>
      <w:r>
        <w:rPr>
          <w:rFonts w:hint="eastAsia" w:ascii="仿宋_GB2312" w:hAnsi="仿宋_GB2312" w:eastAsia="仿宋_GB2312" w:cs="仿宋_GB2312"/>
          <w:sz w:val="28"/>
          <w:szCs w:val="28"/>
        </w:rPr>
        <w:t>找岗定位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作为专业课的一次认识实习。</w:t>
      </w:r>
    </w:p>
    <w:p>
      <w:pPr>
        <w:wordWrap/>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工学交替。专业基础课程学习完毕后专业核心课程学习过程中安排学生到企业参与不超过三个月的工学交替，进行跟岗实践，了解文化创意企业工作的基本内容和流程。</w:t>
      </w:r>
    </w:p>
    <w:p>
      <w:pPr>
        <w:wordWrap/>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bidi="ar-SA"/>
        </w:rPr>
        <w:t>（3）顶岗实习。全部课程学习完毕后</w:t>
      </w:r>
      <w:r>
        <w:rPr>
          <w:rFonts w:hint="eastAsia" w:ascii="仿宋_GB2312" w:hAnsi="仿宋_GB2312" w:eastAsia="仿宋_GB2312" w:cs="仿宋_GB2312"/>
          <w:sz w:val="28"/>
          <w:szCs w:val="28"/>
          <w:lang w:val="en-US" w:eastAsia="zh-CN"/>
        </w:rPr>
        <w:t>安排学生进入合作企业参与为期20</w:t>
      </w:r>
      <w:r>
        <w:rPr>
          <w:rFonts w:hint="eastAsia" w:ascii="仿宋_GB2312" w:hAnsi="仿宋_GB2312" w:eastAsia="仿宋_GB2312" w:cs="仿宋_GB2312"/>
          <w:sz w:val="28"/>
          <w:szCs w:val="28"/>
        </w:rPr>
        <w:t>周</w:t>
      </w:r>
      <w:r>
        <w:rPr>
          <w:rFonts w:hint="eastAsia" w:ascii="仿宋_GB2312" w:hAnsi="仿宋_GB2312" w:eastAsia="仿宋_GB2312" w:cs="仿宋_GB2312"/>
          <w:sz w:val="28"/>
          <w:szCs w:val="28"/>
          <w:lang w:val="en-US" w:eastAsia="zh-CN"/>
        </w:rPr>
        <w:t>的顶岗实习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实习过程中</w:t>
      </w:r>
      <w:r>
        <w:rPr>
          <w:rFonts w:hint="eastAsia" w:ascii="仿宋_GB2312" w:hAnsi="仿宋_GB2312" w:eastAsia="仿宋_GB2312" w:cs="仿宋_GB2312"/>
          <w:color w:val="000000"/>
          <w:sz w:val="28"/>
          <w:szCs w:val="28"/>
          <w:lang w:val="en-US" w:eastAsia="zh-CN" w:bidi="ar-SA"/>
        </w:rPr>
        <w:t>进行进行文化活动策划与推广、新 媒体运营策划、文创产品策划与开发</w:t>
      </w:r>
      <w:r>
        <w:rPr>
          <w:rFonts w:hint="default" w:ascii="仿宋_GB2312" w:hAnsi="仿宋_GB2312" w:eastAsia="仿宋_GB2312" w:cs="仿宋_GB2312"/>
          <w:color w:val="000000"/>
          <w:sz w:val="28"/>
          <w:szCs w:val="28"/>
          <w:lang w:val="en-US" w:eastAsia="zh-CN" w:bidi="ar-SA"/>
        </w:rPr>
        <w:t>等实训</w:t>
      </w:r>
      <w:r>
        <w:rPr>
          <w:rFonts w:hint="eastAsia" w:ascii="仿宋_GB2312" w:hAnsi="仿宋_GB2312" w:eastAsia="仿宋_GB2312" w:cs="仿宋_GB2312"/>
          <w:color w:val="000000"/>
          <w:sz w:val="28"/>
          <w:szCs w:val="28"/>
          <w:lang w:val="en-US" w:eastAsia="zh-CN" w:bidi="ar-SA"/>
        </w:rPr>
        <w:t>，</w:t>
      </w:r>
      <w:r>
        <w:rPr>
          <w:rFonts w:hint="eastAsia" w:ascii="仿宋_GB2312" w:hAnsi="仿宋_GB2312" w:eastAsia="仿宋_GB2312" w:cs="仿宋_GB2312"/>
          <w:sz w:val="28"/>
          <w:szCs w:val="28"/>
          <w:lang w:val="en-US" w:eastAsia="zh-CN"/>
        </w:rPr>
        <w:t>最终实习鉴定</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企业</w:t>
      </w: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lang w:val="en-US" w:eastAsia="zh-CN"/>
        </w:rPr>
        <w:t>学生考核</w:t>
      </w:r>
      <w:r>
        <w:rPr>
          <w:rFonts w:hint="eastAsia" w:ascii="仿宋_GB2312" w:hAnsi="仿宋_GB2312" w:eastAsia="仿宋_GB2312" w:cs="仿宋_GB2312"/>
          <w:sz w:val="28"/>
          <w:szCs w:val="28"/>
        </w:rPr>
        <w:t>成绩</w:t>
      </w:r>
      <w:r>
        <w:rPr>
          <w:rFonts w:hint="eastAsia" w:ascii="仿宋_GB2312" w:hAnsi="仿宋_GB2312" w:eastAsia="仿宋_GB2312" w:cs="仿宋_GB2312"/>
          <w:sz w:val="28"/>
          <w:szCs w:val="28"/>
          <w:lang w:val="en-US" w:eastAsia="zh-CN"/>
        </w:rPr>
        <w:t>做出</w:t>
      </w:r>
      <w:r>
        <w:rPr>
          <w:rFonts w:hint="eastAsia" w:ascii="仿宋_GB2312" w:hAnsi="仿宋_GB2312" w:eastAsia="仿宋_GB2312" w:cs="仿宋_GB2312"/>
          <w:sz w:val="28"/>
          <w:szCs w:val="28"/>
        </w:rPr>
        <w:t>综合评价，作为</w:t>
      </w:r>
      <w:r>
        <w:rPr>
          <w:rFonts w:hint="eastAsia" w:ascii="仿宋_GB2312" w:hAnsi="仿宋_GB2312" w:eastAsia="仿宋_GB2312" w:cs="仿宋_GB2312"/>
          <w:sz w:val="28"/>
          <w:szCs w:val="28"/>
          <w:lang w:val="en-US" w:eastAsia="zh-CN"/>
        </w:rPr>
        <w:t>顶岗实习</w:t>
      </w:r>
      <w:r>
        <w:rPr>
          <w:rFonts w:hint="eastAsia" w:ascii="仿宋_GB2312" w:hAnsi="仿宋_GB2312" w:eastAsia="仿宋_GB2312" w:cs="仿宋_GB2312"/>
          <w:sz w:val="28"/>
          <w:szCs w:val="28"/>
        </w:rPr>
        <w:t>总成绩。</w:t>
      </w:r>
    </w:p>
    <w:p>
      <w:pPr>
        <w:pStyle w:val="5"/>
        <w:wordWrap/>
        <w:spacing w:line="480" w:lineRule="exact"/>
        <w:ind w:firstLine="560" w:firstLineChars="200"/>
        <w:textAlignment w:val="auto"/>
        <w:rPr>
          <w:rFonts w:hint="eastAsia"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（4）校内实训课。专业实训课在校内实训室完成，按照课程大纲的要求由任课教师指导并按课程标准要求进行技能一一考核。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lang w:val="en-US" w:eastAsia="zh-CN" w:bidi="ar-SA"/>
        </w:rPr>
        <w:t>（5）学生可从1-3门专业选修课中任选两门学习并获得4学分。八、</w:t>
      </w:r>
      <w:r>
        <w:rPr>
          <w:rFonts w:hint="eastAsia" w:ascii="仿宋_GB2312" w:hAnsi="仿宋_GB2312" w:eastAsia="仿宋_GB2312" w:cs="仿宋_GB2312"/>
          <w:b/>
          <w:bCs/>
          <w:sz w:val="28"/>
          <w:szCs w:val="28"/>
          <w:lang w:val="en-US" w:eastAsia="zh-CN"/>
        </w:rPr>
        <w:t>实施保障</w:t>
      </w:r>
    </w:p>
    <w:p>
      <w:pPr>
        <w:pStyle w:val="5"/>
        <w:numPr>
          <w:ilvl w:val="0"/>
          <w:numId w:val="1"/>
        </w:numPr>
        <w:spacing w:line="480" w:lineRule="exact"/>
        <w:ind w:firstLine="562" w:firstLineChars="200"/>
        <w:rPr>
          <w:rFonts w:hint="eastAsia" w:ascii="仿宋_GB2312" w:hAnsi="仿宋_GB2312" w:eastAsia="仿宋_GB2312" w:cs="仿宋_GB2312"/>
          <w:b/>
          <w:bCs/>
          <w:color w:val="000000"/>
          <w:sz w:val="28"/>
          <w:szCs w:val="28"/>
          <w:lang w:val="en-US" w:eastAsia="zh-CN" w:bidi="ar-SA"/>
        </w:rPr>
      </w:pPr>
      <w:r>
        <w:rPr>
          <w:rFonts w:hint="eastAsia" w:ascii="仿宋_GB2312" w:hAnsi="仿宋_GB2312" w:eastAsia="仿宋_GB2312" w:cs="仿宋_GB2312"/>
          <w:b/>
          <w:bCs/>
          <w:color w:val="000000"/>
          <w:sz w:val="28"/>
          <w:szCs w:val="28"/>
          <w:lang w:val="en-US" w:eastAsia="zh-CN" w:bidi="ar-SA"/>
        </w:rPr>
        <w:t>师资队伍</w:t>
      </w:r>
    </w:p>
    <w:p>
      <w:pPr>
        <w:pStyle w:val="5"/>
        <w:keepNext w:val="0"/>
        <w:keepLines w:val="0"/>
        <w:pageBreakBefore w:val="0"/>
        <w:kinsoku/>
        <w:wordWrap/>
        <w:overflowPunct/>
        <w:topLinePunct w:val="0"/>
        <w:autoSpaceDE/>
        <w:autoSpaceDN/>
        <w:bidi w:val="0"/>
        <w:spacing w:line="480" w:lineRule="exact"/>
        <w:ind w:left="0" w:leftChars="0"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建立</w:t>
      </w:r>
      <w:r>
        <w:rPr>
          <w:rFonts w:hint="eastAsia" w:ascii="仿宋_GB2312" w:hAnsi="仿宋_GB2312" w:eastAsia="仿宋_GB2312" w:cs="仿宋_GB2312"/>
          <w:color w:val="000000"/>
          <w:kern w:val="0"/>
          <w:sz w:val="28"/>
          <w:szCs w:val="28"/>
        </w:rPr>
        <w:t>以专业带头人为核心，以专业</w:t>
      </w:r>
      <w:r>
        <w:rPr>
          <w:rFonts w:hint="eastAsia" w:ascii="仿宋_GB2312" w:hAnsi="仿宋_GB2312" w:eastAsia="仿宋_GB2312" w:cs="仿宋_GB2312"/>
          <w:color w:val="000000"/>
          <w:kern w:val="0"/>
          <w:sz w:val="28"/>
          <w:szCs w:val="28"/>
          <w:lang w:val="en-US" w:eastAsia="zh-CN"/>
        </w:rPr>
        <w:t>工作室</w:t>
      </w:r>
      <w:r>
        <w:rPr>
          <w:rFonts w:hint="eastAsia" w:ascii="仿宋_GB2312" w:hAnsi="仿宋_GB2312" w:eastAsia="仿宋_GB2312" w:cs="仿宋_GB2312"/>
          <w:color w:val="000000"/>
          <w:kern w:val="0"/>
          <w:sz w:val="28"/>
          <w:szCs w:val="28"/>
        </w:rPr>
        <w:t>为载体，</w:t>
      </w:r>
      <w:r>
        <w:rPr>
          <w:rFonts w:hint="eastAsia" w:ascii="仿宋_GB2312" w:hAnsi="仿宋_GB2312" w:eastAsia="仿宋_GB2312" w:cs="仿宋_GB2312"/>
          <w:color w:val="000000"/>
          <w:kern w:val="0"/>
          <w:sz w:val="28"/>
          <w:szCs w:val="28"/>
          <w:lang w:eastAsia="zh-CN"/>
        </w:rPr>
        <w:t>本校专任教师为基础，外聘兼职教师为辅助的师资队伍。</w:t>
      </w:r>
      <w:r>
        <w:rPr>
          <w:rFonts w:hint="eastAsia" w:ascii="仿宋_GB2312" w:hAnsi="仿宋_GB2312" w:eastAsia="仿宋_GB2312" w:cs="仿宋_GB2312"/>
          <w:color w:val="000000"/>
          <w:kern w:val="0"/>
          <w:sz w:val="28"/>
          <w:szCs w:val="28"/>
          <w:lang w:val="en-US" w:eastAsia="zh-CN"/>
        </w:rPr>
        <w:t>按照不低于18：1的生师比配备专业课教师。</w:t>
      </w:r>
      <w:r>
        <w:rPr>
          <w:rFonts w:hint="eastAsia" w:ascii="仿宋_GB2312" w:hAnsi="仿宋_GB2312" w:eastAsia="仿宋_GB2312" w:cs="仿宋_GB2312"/>
          <w:color w:val="000000"/>
          <w:kern w:val="0"/>
          <w:sz w:val="28"/>
          <w:szCs w:val="28"/>
          <w:lang w:eastAsia="zh-CN"/>
        </w:rPr>
        <w:t>专任教师全部为本科以上学历、</w:t>
      </w:r>
      <w:r>
        <w:rPr>
          <w:rFonts w:hint="eastAsia" w:ascii="仿宋_GB2312" w:hAnsi="仿宋_GB2312" w:eastAsia="仿宋_GB2312" w:cs="仿宋_GB2312"/>
          <w:color w:val="000000"/>
          <w:kern w:val="0"/>
          <w:sz w:val="28"/>
          <w:szCs w:val="28"/>
          <w:lang w:val="en-US" w:eastAsia="zh-CN"/>
        </w:rPr>
        <w:t>设计</w:t>
      </w:r>
      <w:r>
        <w:rPr>
          <w:rFonts w:hint="eastAsia" w:ascii="仿宋_GB2312" w:hAnsi="仿宋_GB2312" w:eastAsia="仿宋_GB2312" w:cs="仿宋_GB2312"/>
          <w:color w:val="000000"/>
          <w:kern w:val="0"/>
          <w:sz w:val="28"/>
          <w:szCs w:val="28"/>
          <w:lang w:eastAsia="zh-CN"/>
        </w:rPr>
        <w:t>专业</w:t>
      </w:r>
      <w:r>
        <w:rPr>
          <w:rFonts w:hint="eastAsia" w:ascii="仿宋_GB2312" w:hAnsi="仿宋_GB2312" w:eastAsia="仿宋_GB2312" w:cs="仿宋_GB2312"/>
          <w:color w:val="000000"/>
          <w:kern w:val="0"/>
          <w:sz w:val="28"/>
          <w:szCs w:val="28"/>
          <w:lang w:val="en-US" w:eastAsia="zh-CN"/>
        </w:rPr>
        <w:t>背景</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持</w:t>
      </w:r>
      <w:r>
        <w:rPr>
          <w:rFonts w:hint="eastAsia" w:ascii="仿宋_GB2312" w:hAnsi="仿宋_GB2312" w:eastAsia="仿宋_GB2312" w:cs="仿宋_GB2312"/>
          <w:color w:val="000000"/>
          <w:kern w:val="0"/>
          <w:sz w:val="28"/>
          <w:szCs w:val="28"/>
          <w:lang w:eastAsia="zh-CN"/>
        </w:rPr>
        <w:t>高</w:t>
      </w:r>
      <w:r>
        <w:rPr>
          <w:rFonts w:hint="eastAsia" w:ascii="仿宋_GB2312" w:hAnsi="仿宋_GB2312" w:eastAsia="仿宋_GB2312" w:cs="仿宋_GB2312"/>
          <w:color w:val="000000"/>
          <w:kern w:val="0"/>
          <w:sz w:val="28"/>
          <w:szCs w:val="28"/>
          <w:lang w:val="en-US" w:eastAsia="zh-CN"/>
        </w:rPr>
        <w:t>等</w:t>
      </w:r>
      <w:r>
        <w:rPr>
          <w:rFonts w:hint="eastAsia" w:ascii="仿宋_GB2312" w:hAnsi="仿宋_GB2312" w:eastAsia="仿宋_GB2312" w:cs="仿宋_GB2312"/>
          <w:color w:val="000000"/>
          <w:kern w:val="0"/>
          <w:sz w:val="28"/>
          <w:szCs w:val="28"/>
          <w:lang w:eastAsia="zh-CN"/>
        </w:rPr>
        <w:t>教师资格证教师。外聘教师优选师德高尚、专业水平高、教学能力强，</w:t>
      </w:r>
      <w:r>
        <w:rPr>
          <w:rFonts w:hint="eastAsia" w:ascii="仿宋_GB2312" w:hAnsi="仿宋_GB2312" w:eastAsia="仿宋_GB2312" w:cs="仿宋_GB2312"/>
          <w:color w:val="000000"/>
          <w:kern w:val="0"/>
          <w:sz w:val="28"/>
          <w:szCs w:val="28"/>
          <w:lang w:val="en-US" w:eastAsia="zh-CN"/>
        </w:rPr>
        <w:t>同时职称等级和学历水平相对较高的教师。</w:t>
      </w:r>
      <w:r>
        <w:rPr>
          <w:rFonts w:hint="eastAsia" w:ascii="仿宋_GB2312" w:hAnsi="仿宋_GB2312" w:eastAsia="仿宋_GB2312" w:cs="仿宋_GB2312"/>
          <w:color w:val="000000"/>
          <w:kern w:val="0"/>
          <w:sz w:val="28"/>
          <w:szCs w:val="28"/>
          <w:lang w:eastAsia="zh-CN"/>
        </w:rPr>
        <w:t>建成</w:t>
      </w:r>
      <w:r>
        <w:rPr>
          <w:rFonts w:hint="eastAsia" w:ascii="仿宋_GB2312" w:hAnsi="仿宋_GB2312" w:eastAsia="仿宋_GB2312" w:cs="仿宋_GB2312"/>
          <w:color w:val="000000"/>
          <w:kern w:val="0"/>
          <w:sz w:val="28"/>
          <w:szCs w:val="28"/>
        </w:rPr>
        <w:t>专兼结合、结构合理、动态组合、相对稳定</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团结合作的“</w:t>
      </w:r>
      <w:r>
        <w:rPr>
          <w:rFonts w:hint="eastAsia" w:ascii="仿宋_GB2312" w:hAnsi="仿宋_GB2312" w:eastAsia="仿宋_GB2312" w:cs="仿宋_GB2312"/>
          <w:color w:val="000000"/>
          <w:kern w:val="0"/>
          <w:sz w:val="28"/>
          <w:szCs w:val="28"/>
          <w:lang w:val="en-US" w:eastAsia="zh-CN"/>
        </w:rPr>
        <w:t>三元模式</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三元”即具备教学能力、实践指导能力、就业创业指导能力</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专业教学团队</w:t>
      </w:r>
      <w:r>
        <w:rPr>
          <w:rFonts w:hint="eastAsia" w:ascii="仿宋_GB2312" w:hAnsi="仿宋_GB2312" w:eastAsia="仿宋_GB2312" w:cs="仿宋_GB2312"/>
          <w:color w:val="000000"/>
          <w:kern w:val="0"/>
          <w:sz w:val="28"/>
          <w:szCs w:val="28"/>
          <w:lang w:eastAsia="zh-CN"/>
        </w:rPr>
        <w:t>。</w:t>
      </w:r>
    </w:p>
    <w:p>
      <w:pPr>
        <w:pStyle w:val="5"/>
        <w:numPr>
          <w:ilvl w:val="0"/>
          <w:numId w:val="1"/>
        </w:numPr>
        <w:shd w:val="clear" w:color="auto" w:fill="auto"/>
        <w:spacing w:line="480" w:lineRule="exact"/>
        <w:ind w:firstLine="562" w:firstLineChars="200"/>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b/>
          <w:bCs/>
          <w:color w:val="000000"/>
          <w:sz w:val="28"/>
          <w:szCs w:val="28"/>
          <w:lang w:val="en-US" w:eastAsia="zh-CN" w:bidi="ar-SA"/>
        </w:rPr>
        <w:t>教学设施</w:t>
      </w:r>
      <w:bookmarkStart w:id="36" w:name="bookmark70"/>
      <w:bookmarkEnd w:id="36"/>
      <w:bookmarkStart w:id="37" w:name="bookmark69"/>
      <w:bookmarkEnd w:id="37"/>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1.美术实训室。创意策划实训室应配备移动白板、安装多媒体教学设备，互联网接入，用于绘画基础、装饰基础、手绘产品表现技法等课程的教学和实训。</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2.创意设计与制作实训室。创意设计与制作实训室应配备台式计算机、操作台、拉坯机、喷釉台等设备计算机需安装设计软件，互联网接入，用于模型制作与造型、陶艺基础、陶瓷产品设计等课程的教学和实训。</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创意产品展示实训室。创意设计与制作实训室应配备笔记本电脑、展柜、展架、易拉宝、投影系统、无线话筒等设备，互联网接入，用于绘画基础、装饰基础、陶瓷产品设计、包装设计、文创产品设计、毕业设计等实训类项目作品的展示。</w:t>
      </w:r>
    </w:p>
    <w:p>
      <w:pPr>
        <w:pStyle w:val="5"/>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4.校外实训基地。</w:t>
      </w:r>
      <w:r>
        <w:rPr>
          <w:rFonts w:hint="eastAsia" w:ascii="仿宋_GB2312" w:hAnsi="仿宋_GB2312" w:eastAsia="仿宋_GB2312" w:cs="仿宋_GB2312"/>
          <w:color w:val="000000"/>
          <w:sz w:val="28"/>
          <w:szCs w:val="28"/>
          <w:lang w:val="en-US" w:eastAsia="zh-CN" w:bidi="ar-SA"/>
        </w:rPr>
        <w:t>与巴彦淖尔日报社君领文创中心、锐领视界（海南）文化传媒有限公司、内蒙古科芮特文化有限公司建立深度合作关系并建设校外实训基地，</w:t>
      </w:r>
      <w:r>
        <w:rPr>
          <w:rFonts w:hint="eastAsia" w:ascii="仿宋_GB2312" w:hAnsi="仿宋_GB2312" w:eastAsia="仿宋_GB2312" w:cs="仿宋_GB2312"/>
          <w:color w:val="000000"/>
          <w:kern w:val="0"/>
          <w:sz w:val="28"/>
          <w:szCs w:val="28"/>
          <w:lang w:val="en-US" w:eastAsia="zh-CN"/>
        </w:rPr>
        <w:t>具有稳定的校外实习基地，能提供创意策划、产品设计与开发、广告设计、出版设计、新媒体运营、包装设计等相关实习岗位，能涵盖当前文创产业发展的主流技术，可接纳一定规模的学生实习；能够配备相应数量的指导教师对学生实习进行指导和管理，有保证实习生日常工作、学习、生活的规章制度，有安全、保险保障。</w:t>
      </w:r>
      <w:bookmarkStart w:id="38" w:name="bookmark73"/>
      <w:bookmarkEnd w:id="38"/>
      <w:bookmarkStart w:id="39" w:name="bookmark75"/>
      <w:bookmarkEnd w:id="39"/>
    </w:p>
    <w:p>
      <w:pPr>
        <w:keepNext w:val="0"/>
        <w:keepLines w:val="0"/>
        <w:pageBreakBefore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rPr>
      </w:pPr>
      <w:bookmarkStart w:id="40" w:name="bookmark79"/>
      <w:bookmarkEnd w:id="40"/>
      <w:r>
        <w:rPr>
          <w:rFonts w:hint="eastAsia" w:ascii="仿宋_GB2312" w:hAnsi="仿宋_GB2312" w:eastAsia="仿宋_GB2312" w:cs="仿宋_GB2312"/>
          <w:b/>
          <w:bCs/>
          <w:sz w:val="28"/>
          <w:szCs w:val="28"/>
          <w:lang w:val="en-US" w:eastAsia="zh-CN"/>
        </w:rPr>
        <w:t>九、质量保障</w:t>
      </w:r>
    </w:p>
    <w:p>
      <w:pPr>
        <w:keepNext w:val="0"/>
        <w:keepLines w:val="0"/>
        <w:pageBreakBefore w:val="0"/>
        <w:widowControl w:val="0"/>
        <w:tabs>
          <w:tab w:val="left" w:pos="445"/>
        </w:tabs>
        <w:kinsoku/>
        <w:wordWrap/>
        <w:overflowPunct/>
        <w:topLinePunct w:val="0"/>
        <w:autoSpaceDE/>
        <w:autoSpaceDN/>
        <w:bidi w:val="0"/>
        <w:spacing w:line="480" w:lineRule="exact"/>
        <w:ind w:right="78"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一）建立起学校和专业学院专业建设和教学质量诊断与改进机制。有全面的专业教学质量监控管理制度,课堂教学、教学评价、实习实训、毕业设计以及专业调研、人才培养方案更新、资源建设等方面质量标准建设完善,通过教学实施、过程监控、质量评价和持续改进,达成人才培养规格。</w:t>
      </w:r>
    </w:p>
    <w:p>
      <w:pPr>
        <w:keepNext w:val="0"/>
        <w:keepLines w:val="0"/>
        <w:pageBreakBefore w:val="0"/>
        <w:widowControl w:val="0"/>
        <w:tabs>
          <w:tab w:val="left" w:pos="445"/>
        </w:tabs>
        <w:kinsoku/>
        <w:wordWrap/>
        <w:overflowPunct/>
        <w:topLinePunct w:val="0"/>
        <w:autoSpaceDE/>
        <w:autoSpaceDN/>
        <w:bidi w:val="0"/>
        <w:spacing w:line="480" w:lineRule="exact"/>
        <w:ind w:right="80"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二）建立起完善的日常教学管理机制。日常教学组织运行与管理制度完备,定期开展课程建设水平和教学质量诊断与改进,巡课、听课、评教、评学等制度完善,与企业联动的实践教学环节督导制度全面,教学纪律严明,教学组织功能较强,定期开展公开课、示范课等教研活动。</w:t>
      </w:r>
    </w:p>
    <w:p>
      <w:pPr>
        <w:keepNext w:val="0"/>
        <w:keepLines w:val="0"/>
        <w:pageBreakBefore w:val="0"/>
        <w:widowControl w:val="0"/>
        <w:tabs>
          <w:tab w:val="left" w:pos="445"/>
        </w:tabs>
        <w:kinsoku/>
        <w:wordWrap/>
        <w:overflowPunct/>
        <w:topLinePunct w:val="0"/>
        <w:autoSpaceDE/>
        <w:autoSpaceDN/>
        <w:bidi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（三）学校招生就业部门建立起毕业生跟踪反馈机制及社会评价机制,定期对生源情况、在校生学业水平、毕业生就业情况等进行分析,定期评价人才培养质量和培养目标达成情况。</w:t>
      </w:r>
    </w:p>
    <w:p>
      <w:pPr>
        <w:keepNext w:val="0"/>
        <w:keepLines w:val="0"/>
        <w:pageBreakBefore w:val="0"/>
        <w:widowControl w:val="0"/>
        <w:tabs>
          <w:tab w:val="left" w:pos="445"/>
        </w:tabs>
        <w:kinsoku/>
        <w:wordWrap/>
        <w:overflowPunct/>
        <w:topLinePunct w:val="0"/>
        <w:autoSpaceDE/>
        <w:autoSpaceDN/>
        <w:bidi w:val="0"/>
        <w:spacing w:line="480" w:lineRule="exact"/>
        <w:ind w:right="80"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（四）建立起专业教学工作室，工作室利用评价分析结果改进专业教学,持续提高人才培养质量。</w:t>
      </w:r>
    </w:p>
    <w:p>
      <w:pPr>
        <w:numPr>
          <w:ilvl w:val="0"/>
          <w:numId w:val="0"/>
        </w:numPr>
        <w:adjustRightInd w:val="0"/>
        <w:snapToGrid w:val="0"/>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十、毕业要求</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color w:val="000000"/>
          <w:kern w:val="0"/>
          <w:sz w:val="28"/>
          <w:szCs w:val="28"/>
        </w:rPr>
        <w:t>实行</w:t>
      </w:r>
      <w:r>
        <w:rPr>
          <w:rFonts w:hint="eastAsia" w:ascii="仿宋_GB2312" w:hAnsi="仿宋_GB2312" w:eastAsia="仿宋_GB2312" w:cs="仿宋_GB2312"/>
          <w:color w:val="000000"/>
          <w:kern w:val="0"/>
          <w:sz w:val="28"/>
          <w:szCs w:val="28"/>
          <w:lang w:val="en-US" w:eastAsia="zh-CN"/>
        </w:rPr>
        <w:t>2.5+0.5</w:t>
      </w:r>
      <w:r>
        <w:rPr>
          <w:rFonts w:hint="eastAsia" w:ascii="仿宋_GB2312" w:hAnsi="仿宋_GB2312" w:eastAsia="仿宋_GB2312" w:cs="仿宋_GB2312"/>
          <w:color w:val="000000"/>
          <w:kern w:val="0"/>
          <w:sz w:val="28"/>
          <w:szCs w:val="28"/>
        </w:rPr>
        <w:t>培养模式，</w:t>
      </w:r>
      <w:r>
        <w:rPr>
          <w:rFonts w:hint="eastAsia" w:ascii="仿宋_GB2312" w:hAnsi="仿宋_GB2312" w:eastAsia="仿宋_GB2312" w:cs="仿宋_GB2312"/>
          <w:color w:val="000000"/>
          <w:kern w:val="0"/>
          <w:sz w:val="28"/>
          <w:szCs w:val="28"/>
          <w:lang w:eastAsia="zh-CN"/>
        </w:rPr>
        <w:t>即</w:t>
      </w:r>
      <w:r>
        <w:rPr>
          <w:rFonts w:hint="eastAsia" w:ascii="仿宋_GB2312" w:hAnsi="仿宋_GB2312" w:eastAsia="仿宋_GB2312" w:cs="仿宋_GB2312"/>
          <w:color w:val="000000"/>
          <w:kern w:val="0"/>
          <w:sz w:val="28"/>
          <w:szCs w:val="28"/>
          <w:lang w:val="en-US" w:eastAsia="zh-CN"/>
        </w:rPr>
        <w:t>2.5</w:t>
      </w:r>
      <w:r>
        <w:rPr>
          <w:rFonts w:hint="eastAsia" w:ascii="仿宋_GB2312" w:hAnsi="仿宋_GB2312" w:eastAsia="仿宋_GB2312" w:cs="仿宋_GB2312"/>
          <w:color w:val="000000"/>
          <w:kern w:val="0"/>
          <w:sz w:val="28"/>
          <w:szCs w:val="28"/>
          <w:lang w:eastAsia="zh-CN"/>
        </w:rPr>
        <w:t>年学校教学和</w:t>
      </w:r>
      <w:r>
        <w:rPr>
          <w:rFonts w:hint="eastAsia" w:ascii="仿宋_GB2312" w:hAnsi="仿宋_GB2312" w:eastAsia="仿宋_GB2312" w:cs="仿宋_GB2312"/>
          <w:color w:val="000000"/>
          <w:kern w:val="0"/>
          <w:sz w:val="28"/>
          <w:szCs w:val="28"/>
          <w:lang w:val="en-US" w:eastAsia="zh-CN"/>
        </w:rPr>
        <w:t>0.5</w:t>
      </w:r>
      <w:r>
        <w:rPr>
          <w:rFonts w:hint="eastAsia" w:ascii="仿宋_GB2312" w:hAnsi="仿宋_GB2312" w:eastAsia="仿宋_GB2312" w:cs="仿宋_GB2312"/>
          <w:color w:val="000000"/>
          <w:kern w:val="0"/>
          <w:sz w:val="28"/>
          <w:szCs w:val="28"/>
          <w:lang w:eastAsia="zh-CN"/>
        </w:rPr>
        <w:t>年</w:t>
      </w:r>
      <w:r>
        <w:rPr>
          <w:rFonts w:hint="eastAsia" w:ascii="仿宋_GB2312" w:hAnsi="仿宋_GB2312" w:eastAsia="仿宋_GB2312" w:cs="仿宋_GB2312"/>
          <w:color w:val="000000"/>
          <w:kern w:val="0"/>
          <w:sz w:val="28"/>
          <w:szCs w:val="28"/>
          <w:lang w:val="en-US" w:eastAsia="zh-CN"/>
        </w:rPr>
        <w:t>文化创意公司</w:t>
      </w:r>
      <w:r>
        <w:rPr>
          <w:rFonts w:hint="eastAsia" w:ascii="仿宋_GB2312" w:hAnsi="仿宋_GB2312" w:eastAsia="仿宋_GB2312" w:cs="仿宋_GB2312"/>
          <w:color w:val="000000"/>
          <w:kern w:val="0"/>
          <w:sz w:val="28"/>
          <w:szCs w:val="28"/>
          <w:lang w:eastAsia="zh-CN"/>
        </w:rPr>
        <w:t>实习教学。学生</w:t>
      </w:r>
      <w:r>
        <w:rPr>
          <w:rFonts w:hint="eastAsia" w:ascii="仿宋_GB2312" w:hAnsi="仿宋_GB2312" w:eastAsia="仿宋_GB2312" w:cs="仿宋_GB2312"/>
          <w:color w:val="000000"/>
          <w:kern w:val="0"/>
          <w:sz w:val="28"/>
          <w:szCs w:val="28"/>
        </w:rPr>
        <w:t>完成校内</w:t>
      </w:r>
      <w:r>
        <w:rPr>
          <w:rFonts w:hint="eastAsia" w:ascii="仿宋_GB2312" w:hAnsi="仿宋_GB2312" w:eastAsia="仿宋_GB2312" w:cs="仿宋_GB2312"/>
          <w:color w:val="000000"/>
          <w:kern w:val="0"/>
          <w:sz w:val="28"/>
          <w:szCs w:val="28"/>
          <w:lang w:val="en-US" w:eastAsia="zh-CN"/>
        </w:rPr>
        <w:t>2.5</w:t>
      </w:r>
      <w:r>
        <w:rPr>
          <w:rFonts w:hint="eastAsia" w:ascii="仿宋_GB2312" w:hAnsi="仿宋_GB2312" w:eastAsia="仿宋_GB2312" w:cs="仿宋_GB2312"/>
          <w:color w:val="000000"/>
          <w:kern w:val="0"/>
          <w:sz w:val="28"/>
          <w:szCs w:val="28"/>
        </w:rPr>
        <w:t>年理论和实践课学习及</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个月以上的顶岗实习,校内学习期间理论考试及实践技能考核合格,顶岗实习单位考核合格,毕业考试合格</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修满</w:t>
      </w:r>
      <w:r>
        <w:rPr>
          <w:rFonts w:hint="eastAsia" w:ascii="仿宋_GB2312" w:hAnsi="仿宋_GB2312" w:eastAsia="仿宋_GB2312" w:cs="仿宋_GB2312"/>
          <w:color w:val="000000"/>
          <w:kern w:val="0"/>
          <w:sz w:val="28"/>
          <w:szCs w:val="28"/>
          <w:lang w:val="en-US" w:eastAsia="zh-CN"/>
        </w:rPr>
        <w:t>179学</w:t>
      </w:r>
      <w:r>
        <w:rPr>
          <w:rFonts w:hint="eastAsia" w:ascii="仿宋_GB2312" w:hAnsi="仿宋_GB2312" w:eastAsia="仿宋_GB2312" w:cs="仿宋_GB2312"/>
          <w:color w:val="000000"/>
          <w:kern w:val="0"/>
          <w:sz w:val="28"/>
          <w:szCs w:val="28"/>
        </w:rPr>
        <w:t>分，方可取得毕业资格。</w:t>
      </w:r>
    </w:p>
    <w:p>
      <w:pPr>
        <w:pStyle w:val="7"/>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0" w:firstLineChars="0"/>
        <w:jc w:val="both"/>
        <w:textAlignment w:val="auto"/>
        <w:rPr>
          <w:rFonts w:hint="eastAsia" w:ascii="仿宋_GB2312" w:hAnsi="仿宋_GB2312" w:eastAsia="仿宋_GB2312" w:cs="仿宋_GB2312"/>
          <w:b/>
          <w:bCs/>
          <w:kern w:val="2"/>
          <w:sz w:val="28"/>
          <w:szCs w:val="28"/>
          <w:u w:val="none"/>
          <w:shd w:val="clear" w:color="auto" w:fill="auto"/>
          <w:lang w:val="en-US" w:eastAsia="zh-CN" w:bidi="ar-SA"/>
        </w:rPr>
      </w:pPr>
      <w:r>
        <w:rPr>
          <w:rFonts w:hint="eastAsia" w:ascii="仿宋_GB2312" w:hAnsi="仿宋_GB2312" w:eastAsia="仿宋_GB2312" w:cs="仿宋_GB2312"/>
          <w:b/>
          <w:bCs/>
          <w:kern w:val="2"/>
          <w:sz w:val="28"/>
          <w:szCs w:val="28"/>
          <w:u w:val="none"/>
          <w:shd w:val="clear" w:color="auto" w:fill="auto"/>
          <w:lang w:val="en-US" w:eastAsia="zh-CN" w:bidi="ar-SA"/>
        </w:rPr>
        <w:t>十一、教学进程安排表见附件</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color w:val="000000"/>
          <w:kern w:val="0"/>
          <w:sz w:val="28"/>
          <w:szCs w:val="28"/>
        </w:rPr>
      </w:pPr>
    </w:p>
    <w:p>
      <w:pPr>
        <w:rPr>
          <w:rFonts w:hint="eastAsia" w:ascii="仿宋" w:hAnsi="仿宋" w:eastAsia="仿宋"/>
          <w:b/>
          <w:bCs/>
          <w:color w:val="000000"/>
          <w:w w:val="90"/>
          <w:sz w:val="36"/>
          <w:szCs w:val="36"/>
          <w:lang w:val="en-US" w:eastAsia="zh-CN"/>
        </w:rPr>
      </w:pPr>
    </w:p>
    <w:p>
      <w:pPr>
        <w:pStyle w:val="7"/>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0" w:firstLineChars="0"/>
        <w:jc w:val="both"/>
        <w:textAlignment w:val="auto"/>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r>
        <w:rPr>
          <w:rFonts w:hint="eastAsia" w:ascii="仿宋" w:hAnsi="仿宋" w:eastAsia="仿宋"/>
          <w:b/>
          <w:bCs/>
          <w:color w:val="000000"/>
          <w:w w:val="90"/>
          <w:sz w:val="36"/>
          <w:szCs w:val="36"/>
        </w:rPr>
        <w:pict>
          <v:shape id="_x0000_s1027" o:spid="_x0000_s1027" o:spt="75" type="#_x0000_t75" style="position:absolute;left:0pt;margin-left:-47.35pt;margin-top:5.65pt;height:688.85pt;width:516.2pt;z-index:251659264;mso-width-relative:page;mso-height-relative:page;" o:ole="t" filled="f" o:preferrelative="t" stroked="f" coordsize="21600,21600">
            <v:path/>
            <v:fill on="f" focussize="0,0"/>
            <v:stroke on="f"/>
            <v:imagedata r:id="rId5" o:title=""/>
            <o:lock v:ext="edit" aspectratio="f"/>
          </v:shape>
          <o:OLEObject Type="Embed" ProgID="Excel.Sheet.12" ShapeID="_x0000_s1027" DrawAspect="Content" ObjectID="_1468075725" r:id="rId4">
            <o:LockedField>false</o:LockedField>
          </o:OLEObject>
        </w:pict>
      </w: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jc w:val="center"/>
        <w:rPr>
          <w:rFonts w:hint="eastAsia" w:ascii="仿宋" w:hAnsi="仿宋" w:eastAsia="仿宋"/>
          <w:b/>
          <w:bCs/>
          <w:color w:val="000000"/>
          <w:w w:val="90"/>
          <w:sz w:val="36"/>
          <w:szCs w:val="36"/>
        </w:rPr>
      </w:pPr>
      <w:r>
        <w:rPr>
          <w:rFonts w:hint="eastAsia" w:ascii="仿宋" w:hAnsi="仿宋" w:eastAsia="仿宋"/>
          <w:b/>
          <w:bCs/>
          <w:color w:val="000000"/>
          <w:w w:val="90"/>
          <w:sz w:val="36"/>
          <w:szCs w:val="36"/>
        </w:rPr>
        <w:t>内蒙</w:t>
      </w:r>
      <w:r>
        <w:rPr>
          <w:rFonts w:hint="eastAsia" w:ascii="仿宋" w:hAnsi="仿宋" w:eastAsia="仿宋" w:cs="Times New Roman"/>
          <w:b/>
          <w:bCs/>
          <w:w w:val="90"/>
          <w:sz w:val="36"/>
          <w:szCs w:val="36"/>
        </w:rPr>
        <w:t>古美术职业学</w:t>
      </w:r>
      <w:r>
        <w:rPr>
          <w:rFonts w:hint="eastAsia" w:ascii="仿宋" w:hAnsi="仿宋" w:eastAsia="仿宋"/>
          <w:b/>
          <w:bCs/>
          <w:color w:val="000000"/>
          <w:w w:val="90"/>
          <w:sz w:val="36"/>
          <w:szCs w:val="36"/>
        </w:rPr>
        <w:t>院专业人才培养方案审定意见书</w:t>
      </w:r>
    </w:p>
    <w:p>
      <w:pPr>
        <w:rPr>
          <w:rFonts w:hint="eastAsia" w:ascii="仿宋" w:hAnsi="仿宋" w:eastAsia="仿宋"/>
          <w:color w:val="000000"/>
          <w:sz w:val="28"/>
          <w:szCs w:val="28"/>
        </w:rPr>
      </w:pPr>
      <w:r>
        <w:rPr>
          <w:rFonts w:hint="eastAsia" w:ascii="仿宋" w:hAnsi="仿宋" w:eastAsia="仿宋"/>
          <w:color w:val="000000"/>
          <w:sz w:val="28"/>
          <w:szCs w:val="28"/>
        </w:rPr>
        <w:t xml:space="preserve">专业学院（公章）： </w:t>
      </w:r>
      <w:r>
        <w:rPr>
          <w:rFonts w:hint="eastAsia" w:ascii="仿宋" w:hAnsi="仿宋" w:eastAsia="仿宋"/>
          <w:color w:val="000000"/>
          <w:sz w:val="28"/>
          <w:szCs w:val="28"/>
          <w:lang w:eastAsia="zh-CN"/>
        </w:rPr>
        <w:t>绘画与设计</w:t>
      </w:r>
      <w:r>
        <w:rPr>
          <w:rFonts w:hint="eastAsia" w:ascii="仿宋" w:hAnsi="仿宋" w:eastAsia="仿宋"/>
          <w:color w:val="000000"/>
          <w:sz w:val="28"/>
          <w:szCs w:val="28"/>
        </w:rPr>
        <w:t xml:space="preserve">学院                          </w:t>
      </w:r>
    </w:p>
    <w:tbl>
      <w:tblPr>
        <w:tblStyle w:val="2"/>
        <w:tblW w:w="86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3" w:type="dxa"/>
          </w:tcPr>
          <w:p>
            <w:pPr>
              <w:jc w:val="center"/>
              <w:rPr>
                <w:rFonts w:hint="eastAsia" w:ascii="仿宋" w:hAnsi="仿宋" w:eastAsia="仿宋"/>
                <w:color w:val="000000"/>
                <w:sz w:val="28"/>
                <w:szCs w:val="28"/>
              </w:rPr>
            </w:pPr>
            <w:r>
              <w:rPr>
                <w:rFonts w:hint="eastAsia" w:ascii="仿宋" w:hAnsi="仿宋" w:eastAsia="仿宋"/>
                <w:color w:val="000000"/>
                <w:sz w:val="28"/>
                <w:szCs w:val="28"/>
              </w:rPr>
              <w:t>部门</w:t>
            </w:r>
          </w:p>
        </w:tc>
        <w:tc>
          <w:tcPr>
            <w:tcW w:w="7365" w:type="dxa"/>
          </w:tcPr>
          <w:p>
            <w:pPr>
              <w:jc w:val="center"/>
              <w:rPr>
                <w:rFonts w:hint="eastAsia" w:ascii="仿宋" w:hAnsi="仿宋" w:eastAsia="仿宋"/>
                <w:color w:val="000000"/>
                <w:sz w:val="28"/>
                <w:szCs w:val="28"/>
              </w:rPr>
            </w:pPr>
            <w:r>
              <w:rPr>
                <w:rFonts w:hint="eastAsia" w:ascii="仿宋" w:hAnsi="仿宋" w:eastAsia="仿宋" w:cs="Times New Roman"/>
                <w:sz w:val="28"/>
                <w:szCs w:val="28"/>
              </w:rPr>
              <w:t>审定意见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6" w:hRule="atLeast"/>
        </w:trPr>
        <w:tc>
          <w:tcPr>
            <w:tcW w:w="1333"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专</w:t>
            </w:r>
          </w:p>
          <w:p>
            <w:pPr>
              <w:jc w:val="center"/>
              <w:rPr>
                <w:rFonts w:ascii="仿宋" w:hAnsi="仿宋" w:eastAsia="仿宋"/>
                <w:color w:val="000000"/>
                <w:sz w:val="28"/>
                <w:szCs w:val="28"/>
              </w:rPr>
            </w:pPr>
            <w:r>
              <w:rPr>
                <w:rFonts w:hint="eastAsia" w:ascii="仿宋" w:hAnsi="仿宋" w:eastAsia="仿宋"/>
                <w:color w:val="000000"/>
                <w:sz w:val="28"/>
                <w:szCs w:val="28"/>
              </w:rPr>
              <w:t>业</w:t>
            </w:r>
          </w:p>
          <w:p>
            <w:pPr>
              <w:jc w:val="center"/>
              <w:rPr>
                <w:rFonts w:ascii="仿宋" w:hAnsi="仿宋" w:eastAsia="仿宋"/>
                <w:color w:val="000000"/>
                <w:sz w:val="28"/>
                <w:szCs w:val="28"/>
              </w:rPr>
            </w:pPr>
            <w:r>
              <w:rPr>
                <w:rFonts w:hint="eastAsia" w:ascii="仿宋" w:hAnsi="仿宋" w:eastAsia="仿宋"/>
                <w:color w:val="000000"/>
                <w:sz w:val="28"/>
                <w:szCs w:val="28"/>
              </w:rPr>
              <w:t>学</w:t>
            </w:r>
          </w:p>
          <w:p>
            <w:pPr>
              <w:jc w:val="center"/>
              <w:rPr>
                <w:rFonts w:hint="eastAsia" w:ascii="仿宋" w:hAnsi="仿宋" w:eastAsia="仿宋"/>
                <w:color w:val="000000"/>
                <w:sz w:val="28"/>
                <w:szCs w:val="28"/>
              </w:rPr>
            </w:pPr>
            <w:r>
              <w:rPr>
                <w:rFonts w:hint="eastAsia" w:ascii="仿宋" w:hAnsi="仿宋" w:eastAsia="仿宋"/>
                <w:color w:val="000000"/>
                <w:sz w:val="28"/>
                <w:szCs w:val="28"/>
              </w:rPr>
              <w:t>院</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 xml:space="preserve">专业学院院长签字：   </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7" w:hRule="atLeast"/>
        </w:trPr>
        <w:tc>
          <w:tcPr>
            <w:tcW w:w="1333" w:type="dxa"/>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教</w:t>
            </w:r>
          </w:p>
          <w:p>
            <w:pPr>
              <w:jc w:val="center"/>
              <w:rPr>
                <w:rFonts w:hint="eastAsia" w:ascii="仿宋" w:hAnsi="仿宋" w:eastAsia="仿宋"/>
                <w:color w:val="000000"/>
                <w:sz w:val="28"/>
                <w:szCs w:val="28"/>
              </w:rPr>
            </w:pPr>
            <w:r>
              <w:rPr>
                <w:rFonts w:hint="eastAsia" w:ascii="仿宋" w:hAnsi="仿宋" w:eastAsia="仿宋"/>
                <w:color w:val="000000"/>
                <w:sz w:val="28"/>
                <w:szCs w:val="28"/>
              </w:rPr>
              <w:t>务</w:t>
            </w:r>
          </w:p>
          <w:p>
            <w:pPr>
              <w:jc w:val="center"/>
              <w:rPr>
                <w:rFonts w:hint="eastAsia" w:ascii="仿宋" w:hAnsi="仿宋" w:eastAsia="仿宋"/>
                <w:color w:val="000000"/>
                <w:sz w:val="28"/>
                <w:szCs w:val="28"/>
              </w:rPr>
            </w:pPr>
            <w:r>
              <w:rPr>
                <w:rFonts w:hint="eastAsia" w:ascii="仿宋" w:hAnsi="仿宋" w:eastAsia="仿宋"/>
                <w:color w:val="000000"/>
                <w:sz w:val="28"/>
                <w:szCs w:val="28"/>
              </w:rPr>
              <w:t>处</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ind w:firstLine="3080" w:firstLineChars="1100"/>
              <w:jc w:val="left"/>
              <w:rPr>
                <w:rFonts w:ascii="仿宋" w:hAnsi="仿宋" w:eastAsia="仿宋"/>
                <w:color w:val="000000"/>
                <w:sz w:val="28"/>
                <w:szCs w:val="28"/>
              </w:rPr>
            </w:pPr>
          </w:p>
          <w:p>
            <w:pPr>
              <w:adjustRightInd w:val="0"/>
              <w:snapToGrid w:val="0"/>
              <w:ind w:firstLine="3080" w:firstLineChars="1100"/>
              <w:jc w:val="left"/>
              <w:rPr>
                <w:rFonts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教务处处长签字：</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9" w:hRule="atLeast"/>
        </w:trPr>
        <w:tc>
          <w:tcPr>
            <w:tcW w:w="1333"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分</w:t>
            </w:r>
          </w:p>
          <w:p>
            <w:pPr>
              <w:jc w:val="center"/>
              <w:rPr>
                <w:rFonts w:hint="eastAsia" w:ascii="仿宋" w:hAnsi="仿宋" w:eastAsia="仿宋"/>
                <w:color w:val="000000"/>
                <w:sz w:val="28"/>
                <w:szCs w:val="28"/>
              </w:rPr>
            </w:pPr>
            <w:r>
              <w:rPr>
                <w:rFonts w:hint="eastAsia" w:ascii="仿宋" w:hAnsi="仿宋" w:eastAsia="仿宋"/>
                <w:color w:val="000000"/>
                <w:sz w:val="28"/>
                <w:szCs w:val="28"/>
              </w:rPr>
              <w:t>管</w:t>
            </w:r>
          </w:p>
          <w:p>
            <w:pPr>
              <w:jc w:val="center"/>
              <w:rPr>
                <w:rFonts w:ascii="仿宋" w:hAnsi="仿宋" w:eastAsia="仿宋"/>
                <w:color w:val="000000"/>
                <w:sz w:val="28"/>
                <w:szCs w:val="28"/>
              </w:rPr>
            </w:pPr>
            <w:r>
              <w:rPr>
                <w:rFonts w:hint="eastAsia" w:ascii="仿宋" w:hAnsi="仿宋" w:eastAsia="仿宋"/>
                <w:color w:val="000000"/>
                <w:sz w:val="28"/>
                <w:szCs w:val="28"/>
              </w:rPr>
              <w:t>院</w:t>
            </w:r>
          </w:p>
          <w:p>
            <w:pPr>
              <w:jc w:val="center"/>
              <w:rPr>
                <w:rFonts w:hint="eastAsia" w:ascii="仿宋" w:hAnsi="仿宋" w:eastAsia="仿宋"/>
                <w:color w:val="000000"/>
                <w:sz w:val="28"/>
                <w:szCs w:val="28"/>
              </w:rPr>
            </w:pPr>
            <w:r>
              <w:rPr>
                <w:rFonts w:hint="eastAsia" w:ascii="仿宋" w:hAnsi="仿宋" w:eastAsia="仿宋"/>
                <w:color w:val="000000"/>
                <w:sz w:val="28"/>
                <w:szCs w:val="28"/>
              </w:rPr>
              <w:t>长</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jc w:val="left"/>
              <w:rPr>
                <w:rFonts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 xml:space="preserve">分管院长签字：  </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7" w:hRule="atLeast"/>
        </w:trPr>
        <w:tc>
          <w:tcPr>
            <w:tcW w:w="1333" w:type="dxa"/>
            <w:vAlign w:val="center"/>
          </w:tcPr>
          <w:p>
            <w:pPr>
              <w:adjustRightInd w:val="0"/>
              <w:snapToGrid w:val="0"/>
              <w:spacing w:line="48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学术委员会</w:t>
            </w:r>
          </w:p>
          <w:p>
            <w:pPr>
              <w:adjustRightInd w:val="0"/>
              <w:snapToGrid w:val="0"/>
              <w:ind w:firstLine="280" w:firstLineChars="100"/>
              <w:jc w:val="both"/>
              <w:rPr>
                <w:rFonts w:hint="eastAsia" w:ascii="仿宋" w:hAnsi="仿宋" w:eastAsia="仿宋"/>
                <w:color w:val="000000"/>
                <w:sz w:val="28"/>
                <w:szCs w:val="28"/>
              </w:rPr>
            </w:pPr>
            <w:r>
              <w:rPr>
                <w:rFonts w:hint="eastAsia" w:ascii="仿宋" w:hAnsi="仿宋" w:eastAsia="仿宋"/>
                <w:sz w:val="28"/>
                <w:szCs w:val="28"/>
                <w:lang w:val="en-US" w:eastAsia="zh-CN"/>
              </w:rPr>
              <w:t>主任</w:t>
            </w:r>
          </w:p>
        </w:tc>
        <w:tc>
          <w:tcPr>
            <w:tcW w:w="7365" w:type="dxa"/>
          </w:tcPr>
          <w:p>
            <w:pPr>
              <w:jc w:val="left"/>
              <w:rPr>
                <w:rFonts w:hint="eastAsia" w:ascii="仿宋" w:hAnsi="仿宋" w:eastAsia="仿宋"/>
                <w:color w:val="000000"/>
                <w:sz w:val="28"/>
                <w:szCs w:val="28"/>
              </w:rPr>
            </w:pPr>
          </w:p>
          <w:p>
            <w:pPr>
              <w:adjustRightInd w:val="0"/>
              <w:snapToGrid w:val="0"/>
              <w:ind w:firstLine="3360" w:firstLineChars="1200"/>
              <w:jc w:val="left"/>
              <w:rPr>
                <w:rFonts w:ascii="仿宋" w:hAnsi="仿宋" w:eastAsia="仿宋"/>
                <w:color w:val="000000"/>
                <w:sz w:val="28"/>
                <w:szCs w:val="28"/>
              </w:rPr>
            </w:pPr>
          </w:p>
          <w:p>
            <w:pPr>
              <w:adjustRightInd w:val="0"/>
              <w:snapToGrid w:val="0"/>
              <w:ind w:firstLine="3360" w:firstLineChars="1200"/>
              <w:jc w:val="left"/>
              <w:rPr>
                <w:rFonts w:ascii="仿宋" w:hAnsi="仿宋" w:eastAsia="仿宋"/>
                <w:color w:val="000000"/>
                <w:sz w:val="28"/>
                <w:szCs w:val="28"/>
              </w:rPr>
            </w:pPr>
          </w:p>
          <w:p>
            <w:pPr>
              <w:adjustRightInd w:val="0"/>
              <w:snapToGrid w:val="0"/>
              <w:ind w:firstLine="3360" w:firstLineChars="1200"/>
              <w:jc w:val="left"/>
              <w:rPr>
                <w:rFonts w:hint="eastAsia" w:ascii="仿宋" w:hAnsi="仿宋" w:eastAsia="仿宋"/>
                <w:color w:val="000000"/>
                <w:sz w:val="28"/>
                <w:szCs w:val="28"/>
              </w:rPr>
            </w:pPr>
            <w:r>
              <w:rPr>
                <w:rFonts w:hint="eastAsia" w:ascii="仿宋" w:hAnsi="仿宋" w:eastAsia="仿宋"/>
                <w:color w:val="000000"/>
                <w:sz w:val="28"/>
                <w:szCs w:val="28"/>
                <w:lang w:val="en-US" w:eastAsia="zh-CN"/>
              </w:rPr>
              <w:t>主任</w:t>
            </w:r>
            <w:r>
              <w:rPr>
                <w:rFonts w:hint="eastAsia" w:ascii="仿宋" w:hAnsi="仿宋" w:eastAsia="仿宋"/>
                <w:color w:val="000000"/>
                <w:sz w:val="28"/>
                <w:szCs w:val="28"/>
              </w:rPr>
              <w:t xml:space="preserve">签字：   </w:t>
            </w:r>
          </w:p>
          <w:p>
            <w:pPr>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bl>
    <w:p>
      <w:pPr>
        <w:sectPr>
          <w:pgSz w:w="11906" w:h="16838"/>
          <w:pgMar w:top="1270" w:right="1800" w:bottom="1100" w:left="1800" w:header="851" w:footer="992" w:gutter="0"/>
          <w:cols w:space="425" w:num="1"/>
          <w:docGrid w:type="lines" w:linePitch="312" w:charSpace="0"/>
        </w:sectPr>
      </w:pPr>
    </w:p>
    <w:p/>
    <w:sectPr>
      <w:pgSz w:w="16838" w:h="11906" w:orient="landscape"/>
      <w:pgMar w:top="680" w:right="567" w:bottom="68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10601030101010101"/>
    <w:charset w:val="86"/>
    <w:family w:val="auto"/>
    <w:pitch w:val="default"/>
    <w:sig w:usb0="00000000" w:usb1="00000000" w:usb2="00000000" w:usb3="00000000" w:csb0="00040000" w:csb1="00000000"/>
    <w:embedRegular r:id="rId1" w:fontKey="{E114B4D2-03DC-4599-BD8B-9D534A73F167}"/>
  </w:font>
  <w:font w:name="楷体_GB2312">
    <w:panose1 w:val="02010609030101010101"/>
    <w:charset w:val="86"/>
    <w:family w:val="decorative"/>
    <w:pitch w:val="default"/>
    <w:sig w:usb0="00000000" w:usb1="00000000" w:usb2="00000000" w:usb3="00000000" w:csb0="00000000" w:csb1="00000000"/>
    <w:embedRegular r:id="rId2" w:fontKey="{A3C3D2E5-E7F4-4DB7-9EC9-ED39B6F4FF1F}"/>
  </w:font>
  <w:font w:name="仿宋">
    <w:panose1 w:val="02010609060101010101"/>
    <w:charset w:val="86"/>
    <w:family w:val="decorative"/>
    <w:pitch w:val="default"/>
    <w:sig w:usb0="800002BF" w:usb1="38CF7CFA" w:usb2="00000016" w:usb3="00000000" w:csb0="00040001" w:csb1="00000000"/>
    <w:embedRegular r:id="rId3" w:fontKey="{92B43DE6-E4DC-42EB-ABE7-EF3AEDB40C80}"/>
  </w:font>
  <w:font w:name="仿宋_GB2312">
    <w:panose1 w:val="02010609030101010101"/>
    <w:charset w:val="86"/>
    <w:family w:val="decorative"/>
    <w:pitch w:val="default"/>
    <w:sig w:usb0="00000000" w:usb1="00000000" w:usb2="00000000" w:usb3="00000000" w:csb0="00000000" w:csb1="00000000"/>
    <w:embedRegular r:id="rId4" w:fontKey="{41FFA966-7B3E-41F3-BB91-3C1A497756CD}"/>
  </w:font>
  <w:font w:name="新宋体">
    <w:panose1 w:val="02010609030101010101"/>
    <w:charset w:val="86"/>
    <w:family w:val="auto"/>
    <w:pitch w:val="default"/>
    <w:sig w:usb0="00000283" w:usb1="288F0000" w:usb2="00000006" w:usb3="00000000" w:csb0="00040001" w:csb1="00000000"/>
    <w:embedRegular r:id="rId5" w:fontKey="{44815BA6-B177-4CB7-B7D0-5A9309B44F16}"/>
  </w:font>
  <w:font w:name="仿宋_GB2312">
    <w:panose1 w:val="02010609030101010101"/>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5AAE"/>
    <w:multiLevelType w:val="singleLevel"/>
    <w:tmpl w:val="14335AA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DY2MjVlYzlkYjg4ZjY0YzMxZjdlMjI0MTAyZmUifQ=="/>
  </w:docVars>
  <w:rsids>
    <w:rsidRoot w:val="00000000"/>
    <w:rsid w:val="01FA47FF"/>
    <w:rsid w:val="025138B7"/>
    <w:rsid w:val="02CF0958"/>
    <w:rsid w:val="04943389"/>
    <w:rsid w:val="04C11266"/>
    <w:rsid w:val="059D2976"/>
    <w:rsid w:val="07CE5427"/>
    <w:rsid w:val="083E11BD"/>
    <w:rsid w:val="096133B5"/>
    <w:rsid w:val="0B915894"/>
    <w:rsid w:val="0DA17F36"/>
    <w:rsid w:val="0EBD51B0"/>
    <w:rsid w:val="0EF14571"/>
    <w:rsid w:val="17AC6801"/>
    <w:rsid w:val="17FF1E1E"/>
    <w:rsid w:val="182A0BB0"/>
    <w:rsid w:val="18992E44"/>
    <w:rsid w:val="1AD344CA"/>
    <w:rsid w:val="1E5E7A6C"/>
    <w:rsid w:val="1E832795"/>
    <w:rsid w:val="1F914ECB"/>
    <w:rsid w:val="21BC3427"/>
    <w:rsid w:val="21FC7971"/>
    <w:rsid w:val="233C2C53"/>
    <w:rsid w:val="23E547BB"/>
    <w:rsid w:val="250B41DC"/>
    <w:rsid w:val="25D71592"/>
    <w:rsid w:val="260026D3"/>
    <w:rsid w:val="28D83CBD"/>
    <w:rsid w:val="2AFA28CA"/>
    <w:rsid w:val="2C02412C"/>
    <w:rsid w:val="2C710D63"/>
    <w:rsid w:val="2C9137DF"/>
    <w:rsid w:val="2DEA4E78"/>
    <w:rsid w:val="2E7C2C8F"/>
    <w:rsid w:val="2FA5374C"/>
    <w:rsid w:val="31AE1506"/>
    <w:rsid w:val="31CD287B"/>
    <w:rsid w:val="32764F2C"/>
    <w:rsid w:val="32B31CDC"/>
    <w:rsid w:val="34D425B1"/>
    <w:rsid w:val="35B8713A"/>
    <w:rsid w:val="36163695"/>
    <w:rsid w:val="38566887"/>
    <w:rsid w:val="3D260B30"/>
    <w:rsid w:val="3EB27C4D"/>
    <w:rsid w:val="41210361"/>
    <w:rsid w:val="41B93CC0"/>
    <w:rsid w:val="41BC0CD7"/>
    <w:rsid w:val="434D7F2B"/>
    <w:rsid w:val="43B9287E"/>
    <w:rsid w:val="44E11076"/>
    <w:rsid w:val="454669E0"/>
    <w:rsid w:val="45926BCF"/>
    <w:rsid w:val="46013725"/>
    <w:rsid w:val="461B60BF"/>
    <w:rsid w:val="4B3E2891"/>
    <w:rsid w:val="4BDA773A"/>
    <w:rsid w:val="4F101EE2"/>
    <w:rsid w:val="517D19DC"/>
    <w:rsid w:val="51DD691E"/>
    <w:rsid w:val="53AF327B"/>
    <w:rsid w:val="550D12C8"/>
    <w:rsid w:val="55EB46B2"/>
    <w:rsid w:val="5628712E"/>
    <w:rsid w:val="56B23ED5"/>
    <w:rsid w:val="57BE68AA"/>
    <w:rsid w:val="57D457E5"/>
    <w:rsid w:val="58F3077A"/>
    <w:rsid w:val="5A0906EB"/>
    <w:rsid w:val="5A511C57"/>
    <w:rsid w:val="5B1630B5"/>
    <w:rsid w:val="5B365DCC"/>
    <w:rsid w:val="5EFD0600"/>
    <w:rsid w:val="60F6077A"/>
    <w:rsid w:val="620C3034"/>
    <w:rsid w:val="62A0377C"/>
    <w:rsid w:val="687731D1"/>
    <w:rsid w:val="6BCD2CF0"/>
    <w:rsid w:val="6D01750D"/>
    <w:rsid w:val="6E8201DA"/>
    <w:rsid w:val="6F9B59F7"/>
    <w:rsid w:val="72514A93"/>
    <w:rsid w:val="789D6AAC"/>
    <w:rsid w:val="7AA7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Heading #1|1"/>
    <w:basedOn w:val="1"/>
    <w:qFormat/>
    <w:uiPriority w:val="0"/>
    <w:pPr>
      <w:widowControl w:val="0"/>
      <w:shd w:val="clear" w:color="auto" w:fill="auto"/>
      <w:spacing w:before="720" w:after="980"/>
      <w:jc w:val="center"/>
      <w:outlineLvl w:val="0"/>
    </w:pPr>
    <w:rPr>
      <w:rFonts w:ascii="MingLiU" w:hAnsi="MingLiU" w:eastAsia="MingLiU" w:cs="MingLiU"/>
      <w:sz w:val="34"/>
      <w:szCs w:val="34"/>
      <w:u w:val="none"/>
      <w:shd w:val="clear" w:color="auto" w:fill="auto"/>
      <w:lang w:val="zh-TW" w:eastAsia="zh-TW" w:bidi="zh-TW"/>
    </w:rPr>
  </w:style>
  <w:style w:type="paragraph" w:customStyle="1" w:styleId="5">
    <w:name w:val="Body text|1"/>
    <w:basedOn w:val="1"/>
    <w:qFormat/>
    <w:uiPriority w:val="0"/>
    <w:pPr>
      <w:widowControl w:val="0"/>
      <w:shd w:val="clear" w:color="auto" w:fill="auto"/>
      <w:spacing w:line="341" w:lineRule="auto"/>
      <w:ind w:firstLine="400"/>
    </w:pPr>
    <w:rPr>
      <w:rFonts w:ascii="MingLiU" w:hAnsi="MingLiU" w:eastAsia="MingLiU" w:cs="MingLiU"/>
      <w:sz w:val="20"/>
      <w:szCs w:val="20"/>
      <w:u w:val="none"/>
      <w:shd w:val="clear" w:color="auto" w:fill="auto"/>
      <w:lang w:val="zh-TW" w:eastAsia="zh-TW" w:bidi="zh-TW"/>
    </w:rPr>
  </w:style>
  <w:style w:type="paragraph" w:customStyle="1" w:styleId="6">
    <w:name w:val="Table caption|1"/>
    <w:basedOn w:val="1"/>
    <w:qFormat/>
    <w:uiPriority w:val="0"/>
    <w:pPr>
      <w:widowControl w:val="0"/>
      <w:shd w:val="clear" w:color="auto" w:fill="auto"/>
      <w:jc w:val="center"/>
    </w:pPr>
    <w:rPr>
      <w:rFonts w:ascii="MingLiU" w:hAnsi="MingLiU" w:eastAsia="MingLiU" w:cs="MingLiU"/>
      <w:sz w:val="17"/>
      <w:szCs w:val="17"/>
      <w:u w:val="none"/>
      <w:shd w:val="clear" w:color="auto" w:fill="auto"/>
      <w:lang w:val="zh-TW" w:eastAsia="zh-TW" w:bidi="zh-TW"/>
    </w:rPr>
  </w:style>
  <w:style w:type="paragraph" w:customStyle="1" w:styleId="7">
    <w:name w:val="Heading #2|1"/>
    <w:basedOn w:val="1"/>
    <w:qFormat/>
    <w:uiPriority w:val="0"/>
    <w:pPr>
      <w:widowControl w:val="0"/>
      <w:shd w:val="clear" w:color="auto" w:fill="auto"/>
      <w:spacing w:after="260"/>
      <w:ind w:firstLine="440"/>
      <w:outlineLvl w:val="1"/>
    </w:pPr>
    <w:rPr>
      <w:rFonts w:ascii="MingLiU" w:hAnsi="MingLiU" w:eastAsia="MingLiU" w:cs="MingLiU"/>
      <w:u w:val="none"/>
      <w:shd w:val="clear" w:color="auto" w:fill="auto"/>
      <w:lang w:val="zh-TW" w:eastAsia="zh-TW" w:bidi="zh-TW"/>
    </w:rPr>
  </w:style>
  <w:style w:type="paragraph" w:customStyle="1" w:styleId="8">
    <w:name w:val="Other|1"/>
    <w:basedOn w:val="1"/>
    <w:qFormat/>
    <w:uiPriority w:val="0"/>
    <w:pPr>
      <w:widowControl w:val="0"/>
      <w:shd w:val="clear" w:color="auto" w:fill="auto"/>
      <w:spacing w:line="341" w:lineRule="auto"/>
      <w:ind w:firstLine="400"/>
    </w:pPr>
    <w:rPr>
      <w:rFonts w:ascii="MingLiU" w:hAnsi="MingLiU" w:eastAsia="MingLiU" w:cs="MingLiU"/>
      <w:sz w:val="20"/>
      <w:szCs w:val="20"/>
      <w:u w:val="none"/>
      <w:shd w:val="clear" w:color="auto" w:fill="auto"/>
      <w:lang w:val="zh-TW" w:eastAsia="zh-TW" w:bidi="zh-TW"/>
    </w:rPr>
  </w:style>
  <w:style w:type="character" w:customStyle="1" w:styleId="9">
    <w:name w:val="font142"/>
    <w:basedOn w:val="3"/>
    <w:qFormat/>
    <w:uiPriority w:val="0"/>
    <w:rPr>
      <w:rFonts w:hint="eastAsia" w:ascii="宋体" w:hAnsi="宋体" w:eastAsia="宋体" w:cs="宋体"/>
      <w:color w:val="000000"/>
      <w:sz w:val="21"/>
      <w:szCs w:val="21"/>
      <w:u w:val="none"/>
    </w:rPr>
  </w:style>
  <w:style w:type="character" w:customStyle="1" w:styleId="10">
    <w:name w:val="font121"/>
    <w:basedOn w:val="3"/>
    <w:qFormat/>
    <w:uiPriority w:val="0"/>
    <w:rPr>
      <w:rFonts w:hint="eastAsia" w:ascii="宋体" w:hAnsi="宋体" w:eastAsia="宋体" w:cs="宋体"/>
      <w:color w:val="000000"/>
      <w:sz w:val="18"/>
      <w:szCs w:val="18"/>
      <w:u w:val="none"/>
    </w:rPr>
  </w:style>
  <w:style w:type="character" w:customStyle="1" w:styleId="11">
    <w:name w:val="font61"/>
    <w:basedOn w:val="3"/>
    <w:qFormat/>
    <w:uiPriority w:val="0"/>
    <w:rPr>
      <w:rFonts w:hint="default"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5811</Words>
  <Characters>5873</Characters>
  <Lines>0</Lines>
  <Paragraphs>0</Paragraphs>
  <TotalTime>12</TotalTime>
  <ScaleCrop>false</ScaleCrop>
  <LinksUpToDate>false</LinksUpToDate>
  <CharactersWithSpaces>6136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2020-10-31T03:47:00Z</dcterms:created>
  <dc:creator>计算机工程师金磊个人安全系统</dc:creator>
  <cp:lastModifiedBy>郭汝焘焘</cp:lastModifiedBy>
  <cp:lastPrinted>2022-05-10T00:32:00Z</cp:lastPrinted>
  <dcterms:modified xsi:type="dcterms:W3CDTF">2023-05-08T01:01:50Z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52D25AD8A26D419C9074EE7DBBBC26F9</vt:lpwstr>
  </property>
</Properties>
</file>